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49D" w:rsidRPr="00EE5547" w:rsidRDefault="00EE5547" w:rsidP="00EE5547">
      <w:pPr>
        <w:shd w:val="clear" w:color="auto" w:fill="D9D9D9" w:themeFill="background1" w:themeFillShade="D9"/>
        <w:jc w:val="center"/>
        <w:rPr>
          <w:b/>
          <w:szCs w:val="24"/>
        </w:rPr>
      </w:pPr>
      <w:r w:rsidRPr="00EE5547">
        <w:rPr>
          <w:b/>
          <w:szCs w:val="24"/>
        </w:rPr>
        <w:t>Create A USGS Topo</w:t>
      </w:r>
      <w:r w:rsidR="00B6719B">
        <w:rPr>
          <w:b/>
          <w:szCs w:val="24"/>
        </w:rPr>
        <w:t>graphic</w:t>
      </w:r>
      <w:r w:rsidRPr="00EE5547">
        <w:rPr>
          <w:b/>
          <w:szCs w:val="24"/>
        </w:rPr>
        <w:t xml:space="preserve"> </w:t>
      </w:r>
      <w:r w:rsidR="00EC33E6">
        <w:rPr>
          <w:b/>
          <w:szCs w:val="24"/>
        </w:rPr>
        <w:t xml:space="preserve">Vector </w:t>
      </w:r>
      <w:r w:rsidRPr="00EE5547">
        <w:rPr>
          <w:b/>
          <w:szCs w:val="24"/>
        </w:rPr>
        <w:t>Dataset For An Area Of Interest</w:t>
      </w:r>
    </w:p>
    <w:p w:rsidR="003F230B" w:rsidRPr="00C1228C" w:rsidRDefault="00C1228C" w:rsidP="00C1228C">
      <w:pPr>
        <w:jc w:val="center"/>
        <w:rPr>
          <w:sz w:val="16"/>
          <w:szCs w:val="16"/>
        </w:rPr>
      </w:pPr>
      <w:r w:rsidRPr="00C1228C">
        <w:rPr>
          <w:sz w:val="16"/>
          <w:szCs w:val="16"/>
        </w:rPr>
        <w:t xml:space="preserve">Carl Beyerhelm - </w:t>
      </w:r>
      <w:r w:rsidR="00B42DF5">
        <w:rPr>
          <w:sz w:val="16"/>
          <w:szCs w:val="16"/>
        </w:rPr>
        <w:t>Circle-5 GeoServices LLC</w:t>
      </w:r>
      <w:r w:rsidRPr="00C1228C">
        <w:rPr>
          <w:sz w:val="16"/>
          <w:szCs w:val="16"/>
        </w:rPr>
        <w:t xml:space="preserve"> - Rev</w:t>
      </w:r>
      <w:r w:rsidR="000010A2">
        <w:rPr>
          <w:sz w:val="16"/>
          <w:szCs w:val="16"/>
        </w:rPr>
        <w:t>ised</w:t>
      </w:r>
      <w:r w:rsidRPr="00C1228C">
        <w:rPr>
          <w:sz w:val="16"/>
          <w:szCs w:val="16"/>
        </w:rPr>
        <w:t xml:space="preserve"> </w:t>
      </w:r>
      <w:r w:rsidR="00B42DF5">
        <w:rPr>
          <w:sz w:val="16"/>
          <w:szCs w:val="16"/>
        </w:rPr>
        <w:t>8</w:t>
      </w:r>
      <w:r w:rsidRPr="00C1228C">
        <w:rPr>
          <w:sz w:val="16"/>
          <w:szCs w:val="16"/>
        </w:rPr>
        <w:t xml:space="preserve"> </w:t>
      </w:r>
      <w:r w:rsidR="00B42DF5">
        <w:rPr>
          <w:sz w:val="16"/>
          <w:szCs w:val="16"/>
        </w:rPr>
        <w:t>Jul</w:t>
      </w:r>
      <w:r w:rsidRPr="00C1228C">
        <w:rPr>
          <w:sz w:val="16"/>
          <w:szCs w:val="16"/>
        </w:rPr>
        <w:t xml:space="preserve"> 201</w:t>
      </w:r>
      <w:r w:rsidR="00B42DF5">
        <w:rPr>
          <w:sz w:val="16"/>
          <w:szCs w:val="16"/>
        </w:rPr>
        <w:t>9</w:t>
      </w:r>
    </w:p>
    <w:p w:rsidR="003F230B" w:rsidRDefault="003F230B">
      <w:pPr>
        <w:rPr>
          <w:sz w:val="20"/>
          <w:szCs w:val="20"/>
        </w:rPr>
      </w:pPr>
    </w:p>
    <w:p w:rsidR="00DA42B5" w:rsidRPr="00B6719B" w:rsidRDefault="00DA42B5">
      <w:pPr>
        <w:rPr>
          <w:sz w:val="20"/>
          <w:szCs w:val="20"/>
        </w:rPr>
      </w:pPr>
    </w:p>
    <w:p w:rsidR="00EE5547" w:rsidRPr="00B6719B" w:rsidRDefault="00AC51A2">
      <w:pPr>
        <w:rPr>
          <w:sz w:val="20"/>
          <w:szCs w:val="20"/>
        </w:rPr>
      </w:pPr>
      <w:r w:rsidRPr="00B6719B">
        <w:rPr>
          <w:b/>
          <w:sz w:val="20"/>
          <w:szCs w:val="20"/>
          <w:shd w:val="clear" w:color="auto" w:fill="D9D9D9" w:themeFill="background1" w:themeFillShade="D9"/>
        </w:rPr>
        <w:t>Background</w:t>
      </w:r>
      <w:r w:rsidRPr="00B6719B">
        <w:rPr>
          <w:sz w:val="20"/>
          <w:szCs w:val="20"/>
        </w:rPr>
        <w:t xml:space="preserve"> - </w:t>
      </w:r>
      <w:r w:rsidR="00B6719B">
        <w:rPr>
          <w:sz w:val="20"/>
          <w:szCs w:val="20"/>
        </w:rPr>
        <w:t xml:space="preserve">USGS </w:t>
      </w:r>
      <w:r w:rsidRPr="00B6719B">
        <w:rPr>
          <w:sz w:val="20"/>
          <w:szCs w:val="20"/>
        </w:rPr>
        <w:t xml:space="preserve">topographic </w:t>
      </w:r>
      <w:r w:rsidR="00B6719B">
        <w:rPr>
          <w:sz w:val="20"/>
          <w:szCs w:val="20"/>
        </w:rPr>
        <w:t xml:space="preserve">vector </w:t>
      </w:r>
      <w:r w:rsidRPr="00B6719B">
        <w:rPr>
          <w:sz w:val="20"/>
          <w:szCs w:val="20"/>
        </w:rPr>
        <w:t xml:space="preserve">datasets have </w:t>
      </w:r>
      <w:r w:rsidR="00686C0A">
        <w:rPr>
          <w:sz w:val="20"/>
          <w:szCs w:val="20"/>
        </w:rPr>
        <w:t>these</w:t>
      </w:r>
      <w:r w:rsidRPr="00B6719B">
        <w:rPr>
          <w:sz w:val="20"/>
          <w:szCs w:val="20"/>
        </w:rPr>
        <w:t xml:space="preserve"> advantages over</w:t>
      </w:r>
      <w:r w:rsidR="000A6F80" w:rsidRPr="00B6719B">
        <w:rPr>
          <w:sz w:val="20"/>
          <w:szCs w:val="20"/>
        </w:rPr>
        <w:t xml:space="preserve"> their raster equivalents.</w:t>
      </w:r>
    </w:p>
    <w:p w:rsidR="00B6719B" w:rsidRPr="00B6719B" w:rsidRDefault="00B6719B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719B">
        <w:rPr>
          <w:sz w:val="20"/>
          <w:szCs w:val="20"/>
        </w:rPr>
        <w:t>All features are rendered as vectors, so there is no pixilation as users zoom in.</w:t>
      </w:r>
    </w:p>
    <w:p w:rsidR="00B6719B" w:rsidRPr="00B6719B" w:rsidRDefault="00B6719B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719B">
        <w:rPr>
          <w:sz w:val="20"/>
          <w:szCs w:val="20"/>
        </w:rPr>
        <w:t>Features can be turned off, fi</w:t>
      </w:r>
      <w:r>
        <w:rPr>
          <w:sz w:val="20"/>
          <w:szCs w:val="20"/>
        </w:rPr>
        <w:t xml:space="preserve">ltered </w:t>
      </w:r>
      <w:r w:rsidR="004F664B">
        <w:rPr>
          <w:sz w:val="20"/>
          <w:szCs w:val="20"/>
        </w:rPr>
        <w:t>with</w:t>
      </w:r>
      <w:r>
        <w:rPr>
          <w:sz w:val="20"/>
          <w:szCs w:val="20"/>
        </w:rPr>
        <w:t xml:space="preserve"> a definition query, or replaced with</w:t>
      </w:r>
      <w:r w:rsidR="004F664B">
        <w:rPr>
          <w:sz w:val="20"/>
          <w:szCs w:val="20"/>
        </w:rPr>
        <w:t xml:space="preserve"> other </w:t>
      </w:r>
      <w:r w:rsidR="00A35B9F">
        <w:rPr>
          <w:sz w:val="20"/>
          <w:szCs w:val="20"/>
        </w:rPr>
        <w:t>vector</w:t>
      </w:r>
      <w:r w:rsidR="004F664B">
        <w:rPr>
          <w:sz w:val="20"/>
          <w:szCs w:val="20"/>
        </w:rPr>
        <w:t xml:space="preserve"> data.</w:t>
      </w:r>
    </w:p>
    <w:p w:rsidR="00B6719B" w:rsidRDefault="00B6719B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719B">
        <w:rPr>
          <w:sz w:val="20"/>
          <w:szCs w:val="20"/>
        </w:rPr>
        <w:t>Features can be re-symbolized, and symbol weights scaled, to suit a user’s cartographic needs.</w:t>
      </w:r>
    </w:p>
    <w:p w:rsidR="00B11CC2" w:rsidRPr="00B6719B" w:rsidRDefault="00B11CC2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Users can employ trace, copy, or replace sketch techniques to create new features from existing </w:t>
      </w:r>
      <w:r w:rsidR="00921284">
        <w:rPr>
          <w:sz w:val="20"/>
          <w:szCs w:val="20"/>
        </w:rPr>
        <w:t xml:space="preserve">USGS topo vector </w:t>
      </w:r>
      <w:r>
        <w:rPr>
          <w:sz w:val="20"/>
          <w:szCs w:val="20"/>
        </w:rPr>
        <w:t>features.</w:t>
      </w:r>
    </w:p>
    <w:p w:rsidR="00A35B9F" w:rsidRDefault="00B6719B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719B">
        <w:rPr>
          <w:sz w:val="20"/>
          <w:szCs w:val="20"/>
        </w:rPr>
        <w:t xml:space="preserve">Maps </w:t>
      </w:r>
      <w:r w:rsidR="00A35B9F">
        <w:rPr>
          <w:sz w:val="20"/>
          <w:szCs w:val="20"/>
        </w:rPr>
        <w:t xml:space="preserve">with USGS topo vectors in the background instead of DRGs, or other raster content, </w:t>
      </w:r>
      <w:r w:rsidRPr="00B6719B">
        <w:rPr>
          <w:sz w:val="20"/>
          <w:szCs w:val="20"/>
        </w:rPr>
        <w:t xml:space="preserve">may export and print more rapidly, and have a crisper appearance, because they </w:t>
      </w:r>
      <w:r w:rsidR="00027F3F">
        <w:rPr>
          <w:sz w:val="20"/>
          <w:szCs w:val="20"/>
        </w:rPr>
        <w:t xml:space="preserve">don't </w:t>
      </w:r>
      <w:r w:rsidRPr="00B6719B">
        <w:rPr>
          <w:sz w:val="20"/>
          <w:szCs w:val="20"/>
        </w:rPr>
        <w:t xml:space="preserve">contain </w:t>
      </w:r>
      <w:r w:rsidR="00027F3F">
        <w:rPr>
          <w:sz w:val="20"/>
          <w:szCs w:val="20"/>
        </w:rPr>
        <w:t xml:space="preserve">any elements </w:t>
      </w:r>
      <w:r w:rsidR="00A35B9F">
        <w:rPr>
          <w:sz w:val="20"/>
          <w:szCs w:val="20"/>
        </w:rPr>
        <w:t>that must be rasterized during export to PDF.</w:t>
      </w:r>
    </w:p>
    <w:p w:rsidR="00B6719B" w:rsidRPr="00B6719B" w:rsidRDefault="00CF2E16" w:rsidP="00B6719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USGS vector data are available nationwide</w:t>
      </w:r>
      <w:r w:rsidR="002515B9">
        <w:rPr>
          <w:sz w:val="20"/>
          <w:szCs w:val="20"/>
        </w:rPr>
        <w:t xml:space="preserve">.  </w:t>
      </w:r>
      <w:r>
        <w:rPr>
          <w:sz w:val="20"/>
          <w:szCs w:val="20"/>
        </w:rPr>
        <w:t>FSTopo vector data</w:t>
      </w:r>
      <w:r w:rsidR="002515B9">
        <w:rPr>
          <w:sz w:val="20"/>
          <w:szCs w:val="20"/>
        </w:rPr>
        <w:t>, while more feature-rich</w:t>
      </w:r>
      <w:r w:rsidR="00027F3F">
        <w:rPr>
          <w:sz w:val="20"/>
          <w:szCs w:val="20"/>
        </w:rPr>
        <w:t xml:space="preserve"> and better organized</w:t>
      </w:r>
      <w:r w:rsidR="002515B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are available </w:t>
      </w:r>
      <w:r w:rsidR="00D127FE">
        <w:rPr>
          <w:sz w:val="20"/>
          <w:szCs w:val="20"/>
        </w:rPr>
        <w:t xml:space="preserve">only </w:t>
      </w:r>
      <w:r>
        <w:rPr>
          <w:sz w:val="20"/>
          <w:szCs w:val="20"/>
        </w:rPr>
        <w:t xml:space="preserve">on National Forest System </w:t>
      </w:r>
      <w:r w:rsidR="0030665F">
        <w:rPr>
          <w:sz w:val="20"/>
          <w:szCs w:val="20"/>
        </w:rPr>
        <w:t xml:space="preserve">(NFS) </w:t>
      </w:r>
      <w:r>
        <w:rPr>
          <w:sz w:val="20"/>
          <w:szCs w:val="20"/>
        </w:rPr>
        <w:t>and adjacent lands.</w:t>
      </w:r>
    </w:p>
    <w:p w:rsidR="000A6F80" w:rsidRPr="00B6719B" w:rsidRDefault="000A6F80">
      <w:pPr>
        <w:rPr>
          <w:sz w:val="20"/>
          <w:szCs w:val="20"/>
        </w:rPr>
      </w:pPr>
    </w:p>
    <w:p w:rsidR="00AC51A2" w:rsidRPr="00B6719B" w:rsidRDefault="008D4270">
      <w:pPr>
        <w:rPr>
          <w:sz w:val="20"/>
          <w:szCs w:val="20"/>
        </w:rPr>
      </w:pPr>
      <w:r>
        <w:rPr>
          <w:sz w:val="20"/>
          <w:szCs w:val="20"/>
        </w:rPr>
        <w:t>A comparison</w:t>
      </w:r>
      <w:r w:rsidR="0030465E">
        <w:rPr>
          <w:sz w:val="20"/>
          <w:szCs w:val="20"/>
        </w:rPr>
        <w:t xml:space="preserve"> view</w:t>
      </w:r>
      <w:r>
        <w:rPr>
          <w:sz w:val="20"/>
          <w:szCs w:val="20"/>
        </w:rPr>
        <w:t xml:space="preserve"> of raster and vector </w:t>
      </w:r>
      <w:r w:rsidR="003F230B">
        <w:rPr>
          <w:sz w:val="20"/>
          <w:szCs w:val="20"/>
        </w:rPr>
        <w:t xml:space="preserve">topographic data </w:t>
      </w:r>
      <w:r>
        <w:rPr>
          <w:sz w:val="20"/>
          <w:szCs w:val="20"/>
        </w:rPr>
        <w:t xml:space="preserve">are illustrated </w:t>
      </w:r>
      <w:r w:rsidR="00027F3F">
        <w:rPr>
          <w:sz w:val="20"/>
          <w:szCs w:val="20"/>
        </w:rPr>
        <w:t xml:space="preserve">at left and right </w:t>
      </w:r>
      <w:r>
        <w:rPr>
          <w:sz w:val="20"/>
          <w:szCs w:val="20"/>
        </w:rPr>
        <w:t>below.</w:t>
      </w:r>
    </w:p>
    <w:p w:rsidR="00AC51A2" w:rsidRDefault="00AC51A2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743200" cy="2764541"/>
            <wp:effectExtent l="19050" t="19050" r="19050" b="16759"/>
            <wp:wrapNone/>
            <wp:docPr id="3" name="Picture 2" descr="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933450" y="1469898"/>
            <wp:positionH relativeFrom="margin">
              <wp:align>left</wp:align>
            </wp:positionH>
            <wp:positionV relativeFrom="line">
              <wp:align>top</wp:align>
            </wp:positionV>
            <wp:extent cx="2741676" cy="2767584"/>
            <wp:effectExtent l="19050" t="19050" r="20574" b="13716"/>
            <wp:wrapNone/>
            <wp:docPr id="2" name="Picture 1" descr="R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76" cy="2767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1F7748" w:rsidRDefault="001F7748">
      <w:pPr>
        <w:rPr>
          <w:sz w:val="20"/>
          <w:szCs w:val="20"/>
        </w:rPr>
      </w:pPr>
    </w:p>
    <w:p w:rsidR="00935076" w:rsidRDefault="00935076">
      <w:pPr>
        <w:rPr>
          <w:sz w:val="20"/>
          <w:szCs w:val="20"/>
        </w:rPr>
      </w:pPr>
    </w:p>
    <w:p w:rsidR="002515B9" w:rsidRDefault="00BF5A35">
      <w:pPr>
        <w:rPr>
          <w:sz w:val="20"/>
          <w:szCs w:val="20"/>
        </w:rPr>
      </w:pPr>
      <w:r w:rsidRPr="00BF5A35">
        <w:rPr>
          <w:b/>
          <w:sz w:val="20"/>
          <w:szCs w:val="20"/>
          <w:shd w:val="clear" w:color="auto" w:fill="D9D9D9" w:themeFill="background1" w:themeFillShade="D9"/>
        </w:rPr>
        <w:t>Distribution elements</w:t>
      </w:r>
      <w:r>
        <w:rPr>
          <w:sz w:val="20"/>
          <w:szCs w:val="20"/>
        </w:rPr>
        <w:t xml:space="preserve"> </w:t>
      </w:r>
      <w:r w:rsidR="000E0ECE">
        <w:rPr>
          <w:sz w:val="20"/>
          <w:szCs w:val="20"/>
        </w:rPr>
        <w:t xml:space="preserve">- All </w:t>
      </w:r>
      <w:r w:rsidR="002515B9">
        <w:rPr>
          <w:sz w:val="20"/>
          <w:szCs w:val="20"/>
        </w:rPr>
        <w:t xml:space="preserve">elements necessary to support </w:t>
      </w:r>
      <w:r w:rsidR="002515B9" w:rsidRPr="00A35B9F">
        <w:rPr>
          <w:sz w:val="20"/>
          <w:szCs w:val="20"/>
        </w:rPr>
        <w:t xml:space="preserve">use of the </w:t>
      </w:r>
      <w:r w:rsidR="000E0ECE" w:rsidRPr="00A35B9F">
        <w:rPr>
          <w:b/>
          <w:sz w:val="20"/>
          <w:szCs w:val="20"/>
        </w:rPr>
        <w:t>USGS Topo Vector Prep</w:t>
      </w:r>
      <w:r w:rsidR="000E0ECE" w:rsidRPr="00A35B9F">
        <w:rPr>
          <w:sz w:val="20"/>
          <w:szCs w:val="20"/>
        </w:rPr>
        <w:t xml:space="preserve"> </w:t>
      </w:r>
      <w:r w:rsidR="00A35B9F">
        <w:rPr>
          <w:sz w:val="20"/>
          <w:szCs w:val="20"/>
        </w:rPr>
        <w:t>a</w:t>
      </w:r>
      <w:r w:rsidR="000E0ECE" w:rsidRPr="00A35B9F">
        <w:rPr>
          <w:sz w:val="20"/>
          <w:szCs w:val="20"/>
        </w:rPr>
        <w:t>dd-</w:t>
      </w:r>
      <w:r w:rsidR="00401EC0">
        <w:rPr>
          <w:sz w:val="20"/>
          <w:szCs w:val="20"/>
        </w:rPr>
        <w:t>i</w:t>
      </w:r>
      <w:r w:rsidR="000E0ECE" w:rsidRPr="00A35B9F">
        <w:rPr>
          <w:sz w:val="20"/>
          <w:szCs w:val="20"/>
        </w:rPr>
        <w:t xml:space="preserve">n are bundled within the </w:t>
      </w:r>
      <w:r w:rsidR="000E0ECE" w:rsidRPr="00A35B9F">
        <w:rPr>
          <w:b/>
          <w:sz w:val="20"/>
          <w:szCs w:val="20"/>
        </w:rPr>
        <w:t>UsgsTopoVectorPrep</w:t>
      </w:r>
      <w:r w:rsidR="006D37F3" w:rsidRPr="00A35B9F">
        <w:rPr>
          <w:b/>
          <w:sz w:val="20"/>
          <w:szCs w:val="20"/>
        </w:rPr>
        <w:t>_2019</w:t>
      </w:r>
      <w:r w:rsidR="000E0ECE" w:rsidRPr="00A35B9F">
        <w:rPr>
          <w:b/>
          <w:sz w:val="20"/>
          <w:szCs w:val="20"/>
        </w:rPr>
        <w:t>.esriaddin</w:t>
      </w:r>
      <w:r w:rsidR="000E0ECE" w:rsidRPr="00A35B9F">
        <w:rPr>
          <w:sz w:val="20"/>
          <w:szCs w:val="20"/>
        </w:rPr>
        <w:t xml:space="preserve"> file</w:t>
      </w:r>
      <w:r w:rsidR="00D127FE" w:rsidRPr="00A35B9F">
        <w:rPr>
          <w:sz w:val="20"/>
          <w:szCs w:val="20"/>
        </w:rPr>
        <w:t>.  These</w:t>
      </w:r>
      <w:r w:rsidR="00D127FE">
        <w:rPr>
          <w:sz w:val="20"/>
          <w:szCs w:val="20"/>
        </w:rPr>
        <w:t xml:space="preserve"> elements include:</w:t>
      </w:r>
    </w:p>
    <w:p w:rsidR="002515B9" w:rsidRPr="002515B9" w:rsidRDefault="00AF02A6" w:rsidP="002515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 t</w:t>
      </w:r>
      <w:r w:rsidR="002515B9" w:rsidRPr="002515B9">
        <w:rPr>
          <w:sz w:val="20"/>
          <w:szCs w:val="20"/>
        </w:rPr>
        <w:t xml:space="preserve">oolbox and </w:t>
      </w:r>
      <w:r w:rsidR="002515B9">
        <w:rPr>
          <w:sz w:val="20"/>
          <w:szCs w:val="20"/>
        </w:rPr>
        <w:t xml:space="preserve">Python </w:t>
      </w:r>
      <w:r w:rsidR="002515B9" w:rsidRPr="002515B9">
        <w:rPr>
          <w:sz w:val="20"/>
          <w:szCs w:val="20"/>
        </w:rPr>
        <w:t>script</w:t>
      </w:r>
    </w:p>
    <w:p w:rsidR="002515B9" w:rsidRPr="002515B9" w:rsidRDefault="00AF02A6" w:rsidP="002515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 n</w:t>
      </w:r>
      <w:r w:rsidR="002515B9" w:rsidRPr="002515B9">
        <w:rPr>
          <w:sz w:val="20"/>
          <w:szCs w:val="20"/>
        </w:rPr>
        <w:t>ation-wide 7.5-minute quad index</w:t>
      </w:r>
    </w:p>
    <w:p w:rsidR="002515B9" w:rsidRPr="002515B9" w:rsidRDefault="00AF02A6" w:rsidP="002515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401EC0">
        <w:rPr>
          <w:sz w:val="20"/>
          <w:szCs w:val="20"/>
        </w:rPr>
        <w:t>pre-</w:t>
      </w:r>
      <w:r>
        <w:rPr>
          <w:sz w:val="20"/>
          <w:szCs w:val="20"/>
        </w:rPr>
        <w:t>s</w:t>
      </w:r>
      <w:r w:rsidR="002515B9" w:rsidRPr="002515B9">
        <w:rPr>
          <w:sz w:val="20"/>
          <w:szCs w:val="20"/>
        </w:rPr>
        <w:t>ymboliz</w:t>
      </w:r>
      <w:r w:rsidR="00401EC0">
        <w:rPr>
          <w:sz w:val="20"/>
          <w:szCs w:val="20"/>
        </w:rPr>
        <w:t>ed</w:t>
      </w:r>
      <w:r w:rsidR="002515B9" w:rsidRPr="002515B9">
        <w:rPr>
          <w:sz w:val="20"/>
          <w:szCs w:val="20"/>
        </w:rPr>
        <w:t xml:space="preserve"> LYR file</w:t>
      </w:r>
    </w:p>
    <w:p w:rsidR="002515B9" w:rsidRDefault="00AF02A6" w:rsidP="002515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 g</w:t>
      </w:r>
      <w:r w:rsidR="002515B9" w:rsidRPr="002515B9">
        <w:rPr>
          <w:sz w:val="20"/>
          <w:szCs w:val="20"/>
        </w:rPr>
        <w:t>uidance document</w:t>
      </w:r>
      <w:r w:rsidR="00351AD8">
        <w:rPr>
          <w:sz w:val="20"/>
          <w:szCs w:val="20"/>
        </w:rPr>
        <w:t xml:space="preserve"> that describes </w:t>
      </w:r>
      <w:r w:rsidR="000E0ECE">
        <w:rPr>
          <w:sz w:val="20"/>
          <w:szCs w:val="20"/>
        </w:rPr>
        <w:t>installation, functionality</w:t>
      </w:r>
      <w:r w:rsidR="00D127FE">
        <w:rPr>
          <w:sz w:val="20"/>
          <w:szCs w:val="20"/>
        </w:rPr>
        <w:t xml:space="preserve">, and use </w:t>
      </w:r>
      <w:r w:rsidR="000B508F">
        <w:rPr>
          <w:sz w:val="20"/>
          <w:szCs w:val="20"/>
        </w:rPr>
        <w:t>of the add-in</w:t>
      </w:r>
    </w:p>
    <w:p w:rsidR="004E61E7" w:rsidRDefault="004E61E7" w:rsidP="00AB40E3">
      <w:pPr>
        <w:rPr>
          <w:sz w:val="20"/>
          <w:szCs w:val="20"/>
        </w:rPr>
      </w:pPr>
    </w:p>
    <w:p w:rsidR="000E0ECE" w:rsidRDefault="000E0E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D71AC" w:rsidRPr="00B65616" w:rsidRDefault="00F02455" w:rsidP="008D71AC">
      <w:pPr>
        <w:rPr>
          <w:rFonts w:cs="Arial"/>
          <w:sz w:val="20"/>
          <w:szCs w:val="20"/>
        </w:rPr>
      </w:pPr>
      <w:r>
        <w:rPr>
          <w:rFonts w:cs="Arial"/>
          <w:b/>
          <w:noProof/>
          <w:sz w:val="20"/>
          <w:szCs w:val="20"/>
          <w:shd w:val="clear" w:color="auto" w:fill="D9D9D9" w:themeFill="background1" w:themeFillShade="D9"/>
        </w:rPr>
        <w:lastRenderedPageBreak/>
        <w:drawing>
          <wp:anchor distT="0" distB="0" distL="114300" distR="114300" simplePos="0" relativeHeight="251689984" behindDoc="0" locked="0" layoutInCell="1" allowOverlap="1">
            <wp:simplePos x="933450" y="914400"/>
            <wp:positionH relativeFrom="margin">
              <wp:align>right</wp:align>
            </wp:positionH>
            <wp:positionV relativeFrom="line">
              <wp:align>top</wp:align>
            </wp:positionV>
            <wp:extent cx="3064964" cy="3021874"/>
            <wp:effectExtent l="19050" t="0" r="2086" b="0"/>
            <wp:wrapSquare wrapText="left"/>
            <wp:docPr id="4" name="Picture 3" descr="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964" cy="3021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08F">
        <w:rPr>
          <w:rFonts w:cs="Arial"/>
          <w:b/>
          <w:sz w:val="20"/>
          <w:szCs w:val="20"/>
          <w:shd w:val="clear" w:color="auto" w:fill="D9D9D9" w:themeFill="background1" w:themeFillShade="D9"/>
        </w:rPr>
        <w:t>To i</w:t>
      </w:r>
      <w:r w:rsidR="008D71AC" w:rsidRPr="00B65616">
        <w:rPr>
          <w:rFonts w:cs="Arial"/>
          <w:b/>
          <w:sz w:val="20"/>
          <w:szCs w:val="20"/>
          <w:shd w:val="clear" w:color="auto" w:fill="D9D9D9" w:themeFill="background1" w:themeFillShade="D9"/>
        </w:rPr>
        <w:t>nstall the add-in</w:t>
      </w:r>
      <w:r w:rsidR="008D71AC">
        <w:rPr>
          <w:rFonts w:cs="Arial"/>
          <w:sz w:val="20"/>
          <w:szCs w:val="20"/>
        </w:rPr>
        <w:t xml:space="preserve"> – </w:t>
      </w:r>
      <w:r w:rsidR="000B508F">
        <w:rPr>
          <w:rFonts w:cs="Arial"/>
          <w:sz w:val="20"/>
          <w:szCs w:val="20"/>
        </w:rPr>
        <w:t>D</w:t>
      </w:r>
      <w:r w:rsidR="008D71AC">
        <w:rPr>
          <w:rFonts w:cs="Arial"/>
          <w:sz w:val="20"/>
          <w:szCs w:val="20"/>
        </w:rPr>
        <w:t>o</w:t>
      </w:r>
      <w:r w:rsidR="008D71AC" w:rsidRPr="00B65616">
        <w:rPr>
          <w:rFonts w:cs="Arial"/>
          <w:sz w:val="20"/>
          <w:szCs w:val="20"/>
        </w:rPr>
        <w:t xml:space="preserve">uble-click </w:t>
      </w:r>
      <w:r w:rsidR="000B508F">
        <w:rPr>
          <w:rFonts w:cs="Arial"/>
          <w:sz w:val="20"/>
          <w:szCs w:val="20"/>
        </w:rPr>
        <w:t xml:space="preserve">on the </w:t>
      </w:r>
      <w:r w:rsidR="008D71AC" w:rsidRPr="00D70A97">
        <w:rPr>
          <w:rFonts w:cs="Arial"/>
          <w:b/>
          <w:sz w:val="20"/>
          <w:szCs w:val="20"/>
        </w:rPr>
        <w:t>UsgsTopoVectorPrep</w:t>
      </w:r>
      <w:r w:rsidR="000B508F">
        <w:rPr>
          <w:rFonts w:cs="Arial"/>
          <w:b/>
          <w:sz w:val="20"/>
          <w:szCs w:val="20"/>
        </w:rPr>
        <w:t>_2019</w:t>
      </w:r>
      <w:r w:rsidR="008D71AC" w:rsidRPr="003716CA">
        <w:rPr>
          <w:rFonts w:cs="Arial"/>
          <w:b/>
          <w:sz w:val="20"/>
          <w:szCs w:val="20"/>
        </w:rPr>
        <w:t>.esriaddin</w:t>
      </w:r>
      <w:r w:rsidR="008D71AC" w:rsidRPr="00B65616">
        <w:rPr>
          <w:rFonts w:cs="Arial"/>
          <w:sz w:val="20"/>
          <w:szCs w:val="20"/>
        </w:rPr>
        <w:t xml:space="preserve"> </w:t>
      </w:r>
      <w:r w:rsidR="000B508F">
        <w:rPr>
          <w:rFonts w:cs="Arial"/>
          <w:sz w:val="20"/>
          <w:szCs w:val="20"/>
        </w:rPr>
        <w:t xml:space="preserve">file in Windows Explorer, </w:t>
      </w:r>
      <w:r w:rsidR="008D71AC" w:rsidRPr="00B65616">
        <w:rPr>
          <w:rFonts w:cs="Arial"/>
          <w:sz w:val="20"/>
          <w:szCs w:val="20"/>
        </w:rPr>
        <w:t xml:space="preserve">and then click the </w:t>
      </w:r>
      <w:r w:rsidR="008D71AC" w:rsidRPr="003716CA">
        <w:rPr>
          <w:rFonts w:cs="Arial"/>
          <w:b/>
          <w:sz w:val="20"/>
          <w:szCs w:val="20"/>
        </w:rPr>
        <w:t>Install Add-In</w:t>
      </w:r>
      <w:r w:rsidR="008D71AC" w:rsidRPr="00B65616">
        <w:rPr>
          <w:rFonts w:cs="Arial"/>
          <w:sz w:val="20"/>
          <w:szCs w:val="20"/>
        </w:rPr>
        <w:t xml:space="preserve"> button, as illustrated at right.  This add-in take</w:t>
      </w:r>
      <w:r w:rsidR="008D71AC">
        <w:rPr>
          <w:rFonts w:cs="Arial"/>
          <w:sz w:val="20"/>
          <w:szCs w:val="20"/>
        </w:rPr>
        <w:t>s the form of an ArcMap toolbar, as seen below.</w:t>
      </w:r>
    </w:p>
    <w:p w:rsidR="008D71AC" w:rsidRPr="00B65616" w:rsidRDefault="008D71AC" w:rsidP="008D71AC">
      <w:pPr>
        <w:rPr>
          <w:rFonts w:cs="Arial"/>
          <w:sz w:val="20"/>
          <w:szCs w:val="20"/>
        </w:rPr>
      </w:pPr>
    </w:p>
    <w:p w:rsidR="008D71AC" w:rsidRPr="00B65616" w:rsidRDefault="008D71AC" w:rsidP="008D71AC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933450" y="2207623"/>
            <wp:positionH relativeFrom="margin">
              <wp:align>left</wp:align>
            </wp:positionH>
            <wp:positionV relativeFrom="line">
              <wp:align>top</wp:align>
            </wp:positionV>
            <wp:extent cx="1369967" cy="304800"/>
            <wp:effectExtent l="19050" t="0" r="1633" b="0"/>
            <wp:wrapNone/>
            <wp:docPr id="9" name="Picture 2" descr="To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96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1AC" w:rsidRPr="00B65616" w:rsidRDefault="008D71AC" w:rsidP="008D71AC">
      <w:pPr>
        <w:rPr>
          <w:rFonts w:cs="Arial"/>
          <w:sz w:val="20"/>
          <w:szCs w:val="20"/>
        </w:rPr>
      </w:pPr>
    </w:p>
    <w:p w:rsidR="008D71AC" w:rsidRPr="00B65616" w:rsidRDefault="008D71AC" w:rsidP="008D71AC">
      <w:pPr>
        <w:rPr>
          <w:rFonts w:cs="Arial"/>
          <w:sz w:val="20"/>
          <w:szCs w:val="20"/>
        </w:rPr>
      </w:pPr>
    </w:p>
    <w:p w:rsidR="008D71AC" w:rsidRDefault="008D71AC" w:rsidP="008D71AC">
      <w:pPr>
        <w:rPr>
          <w:rFonts w:cs="Arial"/>
          <w:sz w:val="20"/>
          <w:szCs w:val="20"/>
        </w:rPr>
      </w:pPr>
      <w:r w:rsidRPr="00B65616">
        <w:rPr>
          <w:rFonts w:cs="Arial"/>
          <w:sz w:val="20"/>
          <w:szCs w:val="20"/>
        </w:rPr>
        <w:t xml:space="preserve">Installing add-ins does not require administrative privileges, and nothing is written to the system registry.  An installed add-in exists as an </w:t>
      </w:r>
      <w:r w:rsidR="00B346A0">
        <w:rPr>
          <w:rFonts w:cs="Arial"/>
          <w:sz w:val="20"/>
          <w:szCs w:val="20"/>
        </w:rPr>
        <w:t>"</w:t>
      </w:r>
      <w:r w:rsidRPr="00B65616">
        <w:rPr>
          <w:rFonts w:cs="Arial"/>
          <w:sz w:val="20"/>
          <w:szCs w:val="20"/>
        </w:rPr>
        <w:t>assembly cache</w:t>
      </w:r>
      <w:r w:rsidR="00B346A0">
        <w:rPr>
          <w:rFonts w:cs="Arial"/>
          <w:sz w:val="20"/>
          <w:szCs w:val="20"/>
        </w:rPr>
        <w:t>"</w:t>
      </w:r>
      <w:r w:rsidRPr="00B65616">
        <w:rPr>
          <w:rFonts w:cs="Arial"/>
          <w:sz w:val="20"/>
          <w:szCs w:val="20"/>
        </w:rPr>
        <w:t xml:space="preserve"> in the user’s</w:t>
      </w:r>
      <w:r w:rsidR="00522926">
        <w:rPr>
          <w:rFonts w:cs="Arial"/>
          <w:sz w:val="20"/>
          <w:szCs w:val="20"/>
        </w:rPr>
        <w:t xml:space="preserve"> personal</w:t>
      </w:r>
      <w:r w:rsidRPr="00B65616">
        <w:rPr>
          <w:rFonts w:cs="Arial"/>
          <w:sz w:val="20"/>
          <w:szCs w:val="20"/>
        </w:rPr>
        <w:t xml:space="preserve"> </w:t>
      </w:r>
      <w:r w:rsidRPr="003716CA">
        <w:rPr>
          <w:rFonts w:cs="Arial"/>
          <w:b/>
          <w:sz w:val="20"/>
          <w:szCs w:val="20"/>
        </w:rPr>
        <w:t>AddIns</w:t>
      </w:r>
      <w:r w:rsidRPr="00B65616">
        <w:rPr>
          <w:rFonts w:cs="Arial"/>
          <w:sz w:val="20"/>
          <w:szCs w:val="20"/>
        </w:rPr>
        <w:t xml:space="preserve"> folder.</w:t>
      </w:r>
    </w:p>
    <w:p w:rsidR="00C00F60" w:rsidRDefault="00C00F60" w:rsidP="008D71AC">
      <w:pPr>
        <w:rPr>
          <w:rFonts w:cs="Arial"/>
          <w:sz w:val="20"/>
          <w:szCs w:val="20"/>
        </w:rPr>
      </w:pPr>
    </w:p>
    <w:p w:rsidR="00A44580" w:rsidRDefault="00A44580" w:rsidP="008D71AC">
      <w:pPr>
        <w:rPr>
          <w:rFonts w:cs="Arial"/>
          <w:noProof/>
          <w:sz w:val="20"/>
          <w:szCs w:val="20"/>
        </w:rPr>
      </w:pPr>
    </w:p>
    <w:p w:rsidR="00A44580" w:rsidRPr="00B65616" w:rsidRDefault="00A44580" w:rsidP="008D71AC">
      <w:pPr>
        <w:rPr>
          <w:rFonts w:cs="Arial"/>
          <w:sz w:val="20"/>
          <w:szCs w:val="20"/>
        </w:rPr>
      </w:pPr>
    </w:p>
    <w:p w:rsidR="008D71AC" w:rsidRDefault="008D71AC" w:rsidP="008D71AC">
      <w:pPr>
        <w:rPr>
          <w:rFonts w:cs="Arial"/>
          <w:sz w:val="20"/>
          <w:szCs w:val="20"/>
        </w:rPr>
      </w:pPr>
    </w:p>
    <w:p w:rsidR="008D71AC" w:rsidRDefault="008D71AC" w:rsidP="008D71AC">
      <w:pPr>
        <w:rPr>
          <w:rFonts w:cs="Arial"/>
          <w:sz w:val="20"/>
          <w:szCs w:val="20"/>
        </w:rPr>
      </w:pPr>
      <w:r w:rsidRPr="00B65616">
        <w:rPr>
          <w:rFonts w:cs="Arial"/>
          <w:b/>
          <w:sz w:val="20"/>
          <w:szCs w:val="20"/>
          <w:shd w:val="clear" w:color="auto" w:fill="D9D9D9" w:themeFill="background1" w:themeFillShade="D9"/>
        </w:rPr>
        <w:t>To delete the add-in</w:t>
      </w:r>
      <w:r w:rsidRPr="00B65616">
        <w:rPr>
          <w:rFonts w:cs="Arial"/>
          <w:sz w:val="20"/>
          <w:szCs w:val="20"/>
        </w:rPr>
        <w:t xml:space="preserve"> - In ArcMap, click </w:t>
      </w:r>
      <w:r w:rsidRPr="003716CA">
        <w:rPr>
          <w:rFonts w:cs="Arial"/>
          <w:b/>
          <w:sz w:val="20"/>
          <w:szCs w:val="20"/>
        </w:rPr>
        <w:t>Customize – Add-In Manager…</w:t>
      </w:r>
      <w:r w:rsidRPr="00B65616">
        <w:rPr>
          <w:rFonts w:cs="Arial"/>
          <w:sz w:val="20"/>
          <w:szCs w:val="20"/>
        </w:rPr>
        <w:t>, selec</w:t>
      </w:r>
      <w:r w:rsidR="000131F9">
        <w:rPr>
          <w:rFonts w:cs="Arial"/>
          <w:sz w:val="20"/>
          <w:szCs w:val="20"/>
        </w:rPr>
        <w:t xml:space="preserve">t </w:t>
      </w:r>
      <w:r>
        <w:rPr>
          <w:rFonts w:cs="Arial"/>
          <w:b/>
          <w:sz w:val="20"/>
          <w:szCs w:val="20"/>
        </w:rPr>
        <w:t>UsgsTopoVectorPrep</w:t>
      </w:r>
      <w:r w:rsidRPr="00B65616">
        <w:rPr>
          <w:rFonts w:cs="Arial"/>
          <w:sz w:val="20"/>
          <w:szCs w:val="20"/>
        </w:rPr>
        <w:t xml:space="preserve">, and then click </w:t>
      </w:r>
      <w:r w:rsidRPr="003716CA">
        <w:rPr>
          <w:rFonts w:cs="Arial"/>
          <w:b/>
          <w:sz w:val="20"/>
          <w:szCs w:val="20"/>
        </w:rPr>
        <w:t>Delete this Add-In</w:t>
      </w:r>
      <w:r w:rsidRPr="00B65616">
        <w:rPr>
          <w:rFonts w:cs="Arial"/>
          <w:sz w:val="20"/>
          <w:szCs w:val="20"/>
        </w:rPr>
        <w:t xml:space="preserve">, as illustrated below.  The add-in’s assembly cache will be removed from the user’s personal </w:t>
      </w:r>
      <w:r w:rsidRPr="003716CA">
        <w:rPr>
          <w:rFonts w:cs="Arial"/>
          <w:b/>
          <w:sz w:val="20"/>
          <w:szCs w:val="20"/>
        </w:rPr>
        <w:t>AddIns</w:t>
      </w:r>
      <w:r w:rsidRPr="00B65616">
        <w:rPr>
          <w:rFonts w:cs="Arial"/>
          <w:sz w:val="20"/>
          <w:szCs w:val="20"/>
        </w:rPr>
        <w:t xml:space="preserve"> folder.</w:t>
      </w:r>
    </w:p>
    <w:p w:rsidR="00A44580" w:rsidRDefault="00A44580" w:rsidP="008D71AC">
      <w:pPr>
        <w:rPr>
          <w:rFonts w:cs="Arial"/>
          <w:sz w:val="20"/>
          <w:szCs w:val="20"/>
        </w:rPr>
      </w:pPr>
    </w:p>
    <w:p w:rsidR="00AB3C3B" w:rsidRDefault="00C433CC" w:rsidP="008D71AC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>
            <wp:simplePos x="933450" y="4776651"/>
            <wp:positionH relativeFrom="margin">
              <wp:align>right</wp:align>
            </wp:positionH>
            <wp:positionV relativeFrom="line">
              <wp:align>top</wp:align>
            </wp:positionV>
            <wp:extent cx="4252504" cy="2778035"/>
            <wp:effectExtent l="19050" t="0" r="0" b="0"/>
            <wp:wrapNone/>
            <wp:docPr id="8" name="Picture 7" descr="Un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st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504" cy="277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44580" w:rsidRDefault="00A44580" w:rsidP="008D71AC">
      <w:pPr>
        <w:rPr>
          <w:rFonts w:cs="Arial"/>
          <w:sz w:val="20"/>
          <w:szCs w:val="20"/>
        </w:rPr>
      </w:pPr>
    </w:p>
    <w:p w:rsidR="00A44580" w:rsidRDefault="00A44580" w:rsidP="008D71AC">
      <w:pPr>
        <w:rPr>
          <w:rFonts w:cs="Arial"/>
          <w:sz w:val="20"/>
          <w:szCs w:val="20"/>
        </w:rPr>
      </w:pPr>
    </w:p>
    <w:p w:rsidR="00A44580" w:rsidRDefault="00A44580" w:rsidP="008D71AC">
      <w:pPr>
        <w:rPr>
          <w:rFonts w:cs="Arial"/>
          <w:sz w:val="20"/>
          <w:szCs w:val="20"/>
        </w:rPr>
      </w:pPr>
    </w:p>
    <w:p w:rsidR="00A44580" w:rsidRDefault="00A44580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 w:rsidP="008D71AC">
      <w:pPr>
        <w:rPr>
          <w:rFonts w:cs="Arial"/>
          <w:sz w:val="20"/>
          <w:szCs w:val="20"/>
        </w:rPr>
      </w:pPr>
    </w:p>
    <w:p w:rsidR="00AB3C3B" w:rsidRDefault="00AB3C3B">
      <w:pPr>
        <w:rPr>
          <w:b/>
          <w:sz w:val="20"/>
          <w:szCs w:val="20"/>
          <w:shd w:val="clear" w:color="auto" w:fill="D9D9D9" w:themeFill="background1" w:themeFillShade="D9"/>
        </w:rPr>
      </w:pPr>
    </w:p>
    <w:p w:rsidR="00351AD8" w:rsidRDefault="00A44580">
      <w:pPr>
        <w:rPr>
          <w:sz w:val="20"/>
          <w:szCs w:val="20"/>
        </w:rPr>
      </w:pPr>
      <w:r>
        <w:rPr>
          <w:b/>
          <w:noProof/>
          <w:sz w:val="20"/>
          <w:szCs w:val="20"/>
          <w:shd w:val="clear" w:color="auto" w:fill="D9D9D9" w:themeFill="background1" w:themeFillShade="D9"/>
        </w:rPr>
        <w:drawing>
          <wp:anchor distT="0" distB="0" distL="114300" distR="114300" simplePos="0" relativeHeight="251686912" behindDoc="0" locked="0" layoutInCell="1" allowOverlap="1">
            <wp:simplePos x="2683873" y="7633063"/>
            <wp:positionH relativeFrom="margin">
              <wp:align>right</wp:align>
            </wp:positionH>
            <wp:positionV relativeFrom="line">
              <wp:align>top</wp:align>
            </wp:positionV>
            <wp:extent cx="2355759" cy="1166948"/>
            <wp:effectExtent l="19050" t="19050" r="25491" b="14152"/>
            <wp:wrapSquare wrapText="left"/>
            <wp:docPr id="16" name="Picture 15" descr="TipGui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Guidanc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759" cy="1166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shd w:val="clear" w:color="auto" w:fill="D9D9D9" w:themeFill="background1" w:themeFillShade="D9"/>
        </w:rPr>
        <w:drawing>
          <wp:anchor distT="0" distB="0" distL="114300" distR="114300" simplePos="0" relativeHeight="251685888" behindDoc="0" locked="0" layoutInCell="1" allowOverlap="1">
            <wp:simplePos x="933450" y="933450"/>
            <wp:positionH relativeFrom="margin">
              <wp:align>left</wp:align>
            </wp:positionH>
            <wp:positionV relativeFrom="line">
              <wp:align>top</wp:align>
            </wp:positionV>
            <wp:extent cx="1599746" cy="1265827"/>
            <wp:effectExtent l="19050" t="19050" r="19504" b="10523"/>
            <wp:wrapSquare wrapText="right"/>
            <wp:docPr id="12" name="Picture 11" descr="Tip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Too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746" cy="1265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51AD8" w:rsidRPr="00351AD8">
        <w:rPr>
          <w:b/>
          <w:sz w:val="20"/>
          <w:szCs w:val="20"/>
          <w:shd w:val="clear" w:color="auto" w:fill="D9D9D9" w:themeFill="background1" w:themeFillShade="D9"/>
        </w:rPr>
        <w:t>The toolbar</w:t>
      </w:r>
      <w:r w:rsidR="00351AD8">
        <w:rPr>
          <w:sz w:val="20"/>
          <w:szCs w:val="20"/>
        </w:rPr>
        <w:t xml:space="preserve"> - The toolbar includes two buttons.  The </w:t>
      </w:r>
      <w:r w:rsidR="00351AD8" w:rsidRPr="00351AD8">
        <w:rPr>
          <w:b/>
          <w:sz w:val="20"/>
          <w:szCs w:val="20"/>
        </w:rPr>
        <w:t>USGS Topo Vector Prep</w:t>
      </w:r>
      <w:r w:rsidR="00351AD8">
        <w:rPr>
          <w:sz w:val="20"/>
          <w:szCs w:val="20"/>
        </w:rPr>
        <w:t xml:space="preserve"> button (left) activates the USGS Topo Vector Prep tool.  The </w:t>
      </w:r>
      <w:r w:rsidR="00351AD8" w:rsidRPr="00351AD8">
        <w:rPr>
          <w:b/>
          <w:sz w:val="20"/>
          <w:szCs w:val="20"/>
        </w:rPr>
        <w:t>Guidance</w:t>
      </w:r>
      <w:r w:rsidR="00351AD8">
        <w:rPr>
          <w:sz w:val="20"/>
          <w:szCs w:val="20"/>
        </w:rPr>
        <w:t xml:space="preserve"> button (right) opens th</w:t>
      </w:r>
      <w:r w:rsidR="00093666">
        <w:rPr>
          <w:sz w:val="20"/>
          <w:szCs w:val="20"/>
        </w:rPr>
        <w:t>is</w:t>
      </w:r>
      <w:r w:rsidR="00351AD8">
        <w:rPr>
          <w:sz w:val="20"/>
          <w:szCs w:val="20"/>
        </w:rPr>
        <w:t xml:space="preserve"> guidance doc.</w:t>
      </w:r>
    </w:p>
    <w:p w:rsidR="00A44580" w:rsidRDefault="00A445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E5547" w:rsidRDefault="00D21236">
      <w:pPr>
        <w:rPr>
          <w:sz w:val="20"/>
          <w:szCs w:val="20"/>
        </w:rPr>
      </w:pPr>
      <w:r>
        <w:rPr>
          <w:b/>
          <w:sz w:val="20"/>
          <w:szCs w:val="20"/>
          <w:shd w:val="clear" w:color="auto" w:fill="D9D9D9" w:themeFill="background1" w:themeFillShade="D9"/>
        </w:rPr>
        <w:lastRenderedPageBreak/>
        <w:t>Tool functionality</w:t>
      </w:r>
      <w:r w:rsidR="004F5111" w:rsidRPr="00351AD8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USGS </w:t>
      </w:r>
      <w:r w:rsidRPr="00B6719B">
        <w:rPr>
          <w:sz w:val="20"/>
          <w:szCs w:val="20"/>
        </w:rPr>
        <w:t xml:space="preserve">topo </w:t>
      </w:r>
      <w:r>
        <w:rPr>
          <w:sz w:val="20"/>
          <w:szCs w:val="20"/>
        </w:rPr>
        <w:t xml:space="preserve">vector </w:t>
      </w:r>
      <w:r w:rsidRPr="00B6719B">
        <w:rPr>
          <w:sz w:val="20"/>
          <w:szCs w:val="20"/>
        </w:rPr>
        <w:t>data</w:t>
      </w:r>
      <w:r>
        <w:rPr>
          <w:sz w:val="20"/>
          <w:szCs w:val="20"/>
        </w:rPr>
        <w:t xml:space="preserve"> are distributed in </w:t>
      </w:r>
      <w:r w:rsidR="00C169B2">
        <w:rPr>
          <w:sz w:val="20"/>
          <w:szCs w:val="20"/>
        </w:rPr>
        <w:t xml:space="preserve">zipped </w:t>
      </w:r>
      <w:r w:rsidR="000010A2">
        <w:rPr>
          <w:sz w:val="20"/>
          <w:szCs w:val="20"/>
        </w:rPr>
        <w:t>GDB</w:t>
      </w:r>
      <w:r>
        <w:rPr>
          <w:sz w:val="20"/>
          <w:szCs w:val="20"/>
        </w:rPr>
        <w:t xml:space="preserve"> format having 7.5</w:t>
      </w:r>
      <w:r w:rsidR="00596976">
        <w:rPr>
          <w:sz w:val="20"/>
          <w:szCs w:val="20"/>
        </w:rPr>
        <w:t>-</w:t>
      </w:r>
      <w:r>
        <w:rPr>
          <w:sz w:val="20"/>
          <w:szCs w:val="20"/>
        </w:rPr>
        <w:t>minute quad map extents</w:t>
      </w:r>
      <w:r w:rsidR="00596976">
        <w:rPr>
          <w:sz w:val="20"/>
          <w:szCs w:val="20"/>
        </w:rPr>
        <w:t xml:space="preserve">. </w:t>
      </w:r>
      <w:r w:rsidRPr="00351AD8">
        <w:rPr>
          <w:sz w:val="20"/>
          <w:szCs w:val="20"/>
        </w:rPr>
        <w:t xml:space="preserve"> </w:t>
      </w:r>
      <w:r w:rsidR="004F5111" w:rsidRPr="00351AD8">
        <w:rPr>
          <w:sz w:val="20"/>
          <w:szCs w:val="20"/>
        </w:rPr>
        <w:t>In order</w:t>
      </w:r>
      <w:r w:rsidR="004F5111">
        <w:rPr>
          <w:sz w:val="20"/>
          <w:szCs w:val="20"/>
        </w:rPr>
        <w:t xml:space="preserve"> to be useful and efficient as background reference data, the</w:t>
      </w:r>
      <w:r w:rsidR="00596976">
        <w:rPr>
          <w:sz w:val="20"/>
          <w:szCs w:val="20"/>
        </w:rPr>
        <w:t>se</w:t>
      </w:r>
      <w:r w:rsidR="004F5111">
        <w:rPr>
          <w:sz w:val="20"/>
          <w:szCs w:val="20"/>
        </w:rPr>
        <w:t xml:space="preserve"> separate </w:t>
      </w:r>
      <w:r w:rsidR="000010A2">
        <w:rPr>
          <w:sz w:val="20"/>
          <w:szCs w:val="20"/>
        </w:rPr>
        <w:t>GDB</w:t>
      </w:r>
      <w:r w:rsidR="004F5111">
        <w:rPr>
          <w:sz w:val="20"/>
          <w:szCs w:val="20"/>
        </w:rPr>
        <w:t xml:space="preserve">s must be combined into a single </w:t>
      </w:r>
      <w:r w:rsidR="000010A2">
        <w:rPr>
          <w:sz w:val="20"/>
          <w:szCs w:val="20"/>
        </w:rPr>
        <w:t>GDB</w:t>
      </w:r>
      <w:r w:rsidR="00C375A3">
        <w:rPr>
          <w:sz w:val="20"/>
          <w:szCs w:val="20"/>
        </w:rPr>
        <w:t xml:space="preserve">, </w:t>
      </w:r>
      <w:r w:rsidR="00837612">
        <w:rPr>
          <w:sz w:val="20"/>
          <w:szCs w:val="20"/>
        </w:rPr>
        <w:t xml:space="preserve">and </w:t>
      </w:r>
      <w:r w:rsidR="004F5111">
        <w:rPr>
          <w:sz w:val="20"/>
          <w:szCs w:val="20"/>
        </w:rPr>
        <w:t>their features dissolved</w:t>
      </w:r>
      <w:r w:rsidR="00837612">
        <w:rPr>
          <w:sz w:val="20"/>
          <w:szCs w:val="20"/>
        </w:rPr>
        <w:t xml:space="preserve"> across quad lines, symbolized, and labeled.  </w:t>
      </w:r>
      <w:r w:rsidR="004F5111">
        <w:rPr>
          <w:sz w:val="20"/>
          <w:szCs w:val="20"/>
        </w:rPr>
        <w:t>A</w:t>
      </w:r>
      <w:r w:rsidR="00A9174F">
        <w:rPr>
          <w:sz w:val="20"/>
          <w:szCs w:val="20"/>
        </w:rPr>
        <w:t xml:space="preserve">n ArcGIS tool </w:t>
      </w:r>
      <w:r w:rsidR="00C375A3">
        <w:rPr>
          <w:sz w:val="20"/>
          <w:szCs w:val="20"/>
        </w:rPr>
        <w:t xml:space="preserve">has been developed to do this, </w:t>
      </w:r>
      <w:r w:rsidR="004F5111">
        <w:rPr>
          <w:sz w:val="20"/>
          <w:szCs w:val="20"/>
        </w:rPr>
        <w:t xml:space="preserve">and its </w:t>
      </w:r>
      <w:r w:rsidR="00596976">
        <w:rPr>
          <w:sz w:val="20"/>
          <w:szCs w:val="20"/>
        </w:rPr>
        <w:t xml:space="preserve">functionality </w:t>
      </w:r>
      <w:r w:rsidR="00522926">
        <w:rPr>
          <w:sz w:val="20"/>
          <w:szCs w:val="20"/>
        </w:rPr>
        <w:t>includes these elements.</w:t>
      </w:r>
    </w:p>
    <w:p w:rsidR="00596976" w:rsidRDefault="00596976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Download</w:t>
      </w:r>
      <w:r w:rsidR="00BE0FA2">
        <w:rPr>
          <w:sz w:val="20"/>
          <w:szCs w:val="20"/>
        </w:rPr>
        <w:t>s</w:t>
      </w:r>
      <w:r>
        <w:rPr>
          <w:sz w:val="20"/>
          <w:szCs w:val="20"/>
        </w:rPr>
        <w:t xml:space="preserve"> (or cop</w:t>
      </w:r>
      <w:r w:rsidR="00BE0FA2">
        <w:rPr>
          <w:sz w:val="20"/>
          <w:szCs w:val="20"/>
        </w:rPr>
        <w:t>ies</w:t>
      </w:r>
      <w:r>
        <w:rPr>
          <w:sz w:val="20"/>
          <w:szCs w:val="20"/>
        </w:rPr>
        <w:t xml:space="preserve">) </w:t>
      </w:r>
      <w:r w:rsidR="00BE0FA2">
        <w:rPr>
          <w:sz w:val="20"/>
          <w:szCs w:val="20"/>
        </w:rPr>
        <w:t xml:space="preserve">zipped </w:t>
      </w:r>
      <w:r>
        <w:rPr>
          <w:sz w:val="20"/>
          <w:szCs w:val="20"/>
        </w:rPr>
        <w:t>USGS topo vector GDBs to a local folder.</w:t>
      </w:r>
    </w:p>
    <w:p w:rsidR="00596976" w:rsidRPr="00403031" w:rsidRDefault="00596976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03031">
        <w:rPr>
          <w:sz w:val="20"/>
          <w:szCs w:val="20"/>
        </w:rPr>
        <w:t>Unzip</w:t>
      </w:r>
      <w:r w:rsidR="00BE0FA2">
        <w:rPr>
          <w:sz w:val="20"/>
          <w:szCs w:val="20"/>
        </w:rPr>
        <w:t>s</w:t>
      </w:r>
      <w:r w:rsidRPr="00403031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GDB </w:t>
      </w:r>
      <w:r w:rsidRPr="00403031">
        <w:rPr>
          <w:sz w:val="20"/>
          <w:szCs w:val="20"/>
        </w:rPr>
        <w:t>data</w:t>
      </w:r>
      <w:r>
        <w:rPr>
          <w:sz w:val="20"/>
          <w:szCs w:val="20"/>
        </w:rPr>
        <w:t>.</w:t>
      </w:r>
    </w:p>
    <w:p w:rsidR="00596976" w:rsidRPr="00403031" w:rsidRDefault="00596976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03031">
        <w:rPr>
          <w:sz w:val="20"/>
          <w:szCs w:val="20"/>
        </w:rPr>
        <w:t>Clip</w:t>
      </w:r>
      <w:r w:rsidR="00BE0FA2">
        <w:rPr>
          <w:sz w:val="20"/>
          <w:szCs w:val="20"/>
        </w:rPr>
        <w:t>s</w:t>
      </w:r>
      <w:r w:rsidRPr="00403031">
        <w:rPr>
          <w:sz w:val="20"/>
          <w:szCs w:val="20"/>
        </w:rPr>
        <w:t xml:space="preserve"> all </w:t>
      </w:r>
      <w:r>
        <w:rPr>
          <w:sz w:val="20"/>
          <w:szCs w:val="20"/>
        </w:rPr>
        <w:t xml:space="preserve">GDB </w:t>
      </w:r>
      <w:r w:rsidRPr="00403031">
        <w:rPr>
          <w:sz w:val="20"/>
          <w:szCs w:val="20"/>
        </w:rPr>
        <w:t>features to their respective quad frame</w:t>
      </w:r>
      <w:r>
        <w:rPr>
          <w:sz w:val="20"/>
          <w:szCs w:val="20"/>
        </w:rPr>
        <w:t>.</w:t>
      </w:r>
    </w:p>
    <w:p w:rsidR="00596976" w:rsidRPr="00403031" w:rsidRDefault="00596976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140335</wp:posOffset>
            </wp:positionV>
            <wp:extent cx="1238885" cy="1170940"/>
            <wp:effectExtent l="19050" t="0" r="0" b="0"/>
            <wp:wrapSquare wrapText="left"/>
            <wp:docPr id="1" name="Picture 3" descr="Out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S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031">
        <w:rPr>
          <w:sz w:val="20"/>
          <w:szCs w:val="20"/>
        </w:rPr>
        <w:t>Combine</w:t>
      </w:r>
      <w:r w:rsidR="00BE0FA2">
        <w:rPr>
          <w:sz w:val="20"/>
          <w:szCs w:val="20"/>
        </w:rPr>
        <w:t>s</w:t>
      </w:r>
      <w:r w:rsidRPr="00403031">
        <w:rPr>
          <w:sz w:val="20"/>
          <w:szCs w:val="20"/>
        </w:rPr>
        <w:t xml:space="preserve"> feature classes from each </w:t>
      </w:r>
      <w:r>
        <w:rPr>
          <w:sz w:val="20"/>
          <w:szCs w:val="20"/>
        </w:rPr>
        <w:t>GDB</w:t>
      </w:r>
      <w:r w:rsidRPr="00403031">
        <w:rPr>
          <w:sz w:val="20"/>
          <w:szCs w:val="20"/>
        </w:rPr>
        <w:t xml:space="preserve"> into a single </w:t>
      </w:r>
      <w:r w:rsidR="000010A2">
        <w:rPr>
          <w:sz w:val="20"/>
          <w:szCs w:val="20"/>
        </w:rPr>
        <w:t>GDB</w:t>
      </w:r>
      <w:r>
        <w:rPr>
          <w:sz w:val="20"/>
          <w:szCs w:val="20"/>
        </w:rPr>
        <w:t>.</w:t>
      </w:r>
    </w:p>
    <w:p w:rsidR="00596976" w:rsidRDefault="00364F4E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Attempts to DISSOLVE </w:t>
      </w:r>
      <w:r w:rsidR="00596976" w:rsidRPr="00403031">
        <w:rPr>
          <w:sz w:val="20"/>
          <w:szCs w:val="20"/>
        </w:rPr>
        <w:t>like-attributed polygon and line features that may have been split across quad frames</w:t>
      </w:r>
      <w:r w:rsidR="00596976">
        <w:rPr>
          <w:sz w:val="20"/>
          <w:szCs w:val="20"/>
        </w:rPr>
        <w:t>.</w:t>
      </w:r>
    </w:p>
    <w:p w:rsidR="00596976" w:rsidRDefault="003B25FF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Re-source</w:t>
      </w:r>
      <w:r w:rsidR="00BE0FA2">
        <w:rPr>
          <w:sz w:val="20"/>
          <w:szCs w:val="20"/>
        </w:rPr>
        <w:t>s</w:t>
      </w:r>
      <w:r>
        <w:rPr>
          <w:sz w:val="20"/>
          <w:szCs w:val="20"/>
        </w:rPr>
        <w:t xml:space="preserve"> and symbolize</w:t>
      </w:r>
      <w:r w:rsidR="00BE0FA2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596976">
        <w:rPr>
          <w:sz w:val="20"/>
          <w:szCs w:val="20"/>
        </w:rPr>
        <w:t>all layers, and save</w:t>
      </w:r>
      <w:r w:rsidR="00BE0FA2">
        <w:rPr>
          <w:sz w:val="20"/>
          <w:szCs w:val="20"/>
        </w:rPr>
        <w:t>s</w:t>
      </w:r>
      <w:r w:rsidR="00596976">
        <w:rPr>
          <w:sz w:val="20"/>
          <w:szCs w:val="20"/>
        </w:rPr>
        <w:t xml:space="preserve"> the result as a LYR file.</w:t>
      </w:r>
    </w:p>
    <w:p w:rsidR="00596976" w:rsidRPr="005714A7" w:rsidRDefault="00761992" w:rsidP="0059697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596976" w:rsidRPr="005714A7">
        <w:rPr>
          <w:sz w:val="20"/>
          <w:szCs w:val="20"/>
        </w:rPr>
        <w:t>ptionally, project</w:t>
      </w:r>
      <w:r w:rsidR="00BE0FA2">
        <w:rPr>
          <w:sz w:val="20"/>
          <w:szCs w:val="20"/>
        </w:rPr>
        <w:t>s</w:t>
      </w:r>
      <w:r w:rsidR="00596976" w:rsidRPr="005714A7">
        <w:rPr>
          <w:sz w:val="20"/>
          <w:szCs w:val="20"/>
        </w:rPr>
        <w:t xml:space="preserve"> the </w:t>
      </w:r>
      <w:r w:rsidR="00596976" w:rsidRPr="005714A7">
        <w:rPr>
          <w:b/>
          <w:sz w:val="20"/>
          <w:szCs w:val="20"/>
        </w:rPr>
        <w:t>GCS_North_American_1983</w:t>
      </w:r>
      <w:r w:rsidR="00596976" w:rsidRPr="005714A7">
        <w:rPr>
          <w:sz w:val="20"/>
          <w:szCs w:val="20"/>
        </w:rPr>
        <w:t xml:space="preserve"> feature classes into a user-specified spatial refer</w:t>
      </w:r>
      <w:r w:rsidR="00596976">
        <w:rPr>
          <w:sz w:val="20"/>
          <w:szCs w:val="20"/>
        </w:rPr>
        <w:t xml:space="preserve">ence using the tool's built-in </w:t>
      </w:r>
      <w:r w:rsidR="00596976" w:rsidRPr="005714A7">
        <w:rPr>
          <w:b/>
          <w:sz w:val="20"/>
          <w:szCs w:val="20"/>
        </w:rPr>
        <w:t>Output Coordinat</w:t>
      </w:r>
      <w:r w:rsidR="00596976">
        <w:rPr>
          <w:b/>
          <w:sz w:val="20"/>
          <w:szCs w:val="20"/>
        </w:rPr>
        <w:t>es</w:t>
      </w:r>
      <w:r w:rsidR="00596976" w:rsidRPr="005714A7">
        <w:rPr>
          <w:sz w:val="20"/>
          <w:szCs w:val="20"/>
        </w:rPr>
        <w:t xml:space="preserve"> environment setting</w:t>
      </w:r>
      <w:r w:rsidR="00596976">
        <w:rPr>
          <w:sz w:val="20"/>
          <w:szCs w:val="20"/>
        </w:rPr>
        <w:t>, as illustrated at right.</w:t>
      </w:r>
    </w:p>
    <w:p w:rsidR="00596976" w:rsidRDefault="00596976">
      <w:pPr>
        <w:rPr>
          <w:sz w:val="20"/>
          <w:szCs w:val="20"/>
        </w:rPr>
      </w:pPr>
    </w:p>
    <w:p w:rsidR="00DC0B12" w:rsidRDefault="00A44580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952500" y="3511187"/>
            <wp:positionH relativeFrom="margin">
              <wp:align>right</wp:align>
            </wp:positionH>
            <wp:positionV relativeFrom="line">
              <wp:align>top</wp:align>
            </wp:positionV>
            <wp:extent cx="1943372" cy="2517957"/>
            <wp:effectExtent l="38100" t="19050" r="18778" b="15693"/>
            <wp:wrapNone/>
            <wp:docPr id="17" name="Picture 16" descr="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2517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50309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933450" y="3492137"/>
            <wp:positionH relativeFrom="margin">
              <wp:align>left</wp:align>
            </wp:positionH>
            <wp:positionV relativeFrom="line">
              <wp:align>top</wp:align>
            </wp:positionV>
            <wp:extent cx="3897176" cy="2303417"/>
            <wp:effectExtent l="19050" t="0" r="8074" b="0"/>
            <wp:wrapNone/>
            <wp:docPr id="7" name="Picture 6" descr="Tool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Dialo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176" cy="230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727FB6" w:rsidRDefault="00727FB6">
      <w:pPr>
        <w:rPr>
          <w:sz w:val="20"/>
          <w:szCs w:val="20"/>
        </w:rPr>
      </w:pPr>
    </w:p>
    <w:p w:rsidR="00A44580" w:rsidRDefault="00A44580">
      <w:pPr>
        <w:rPr>
          <w:sz w:val="20"/>
          <w:szCs w:val="20"/>
        </w:rPr>
      </w:pPr>
    </w:p>
    <w:p w:rsidR="00596976" w:rsidRPr="00DC0B12" w:rsidRDefault="00596976">
      <w:pPr>
        <w:rPr>
          <w:sz w:val="20"/>
          <w:szCs w:val="20"/>
        </w:rPr>
      </w:pPr>
      <w:r w:rsidRPr="006E6F23">
        <w:rPr>
          <w:b/>
          <w:sz w:val="20"/>
          <w:szCs w:val="20"/>
          <w:shd w:val="clear" w:color="auto" w:fill="D9D9D9" w:themeFill="background1" w:themeFillShade="D9"/>
        </w:rPr>
        <w:t>Run the tool</w:t>
      </w:r>
      <w:r>
        <w:rPr>
          <w:sz w:val="20"/>
          <w:szCs w:val="20"/>
        </w:rPr>
        <w:t xml:space="preserve"> - </w:t>
      </w:r>
      <w:r w:rsidR="00DC0B12" w:rsidRPr="00DC0B12">
        <w:rPr>
          <w:sz w:val="20"/>
          <w:szCs w:val="20"/>
        </w:rPr>
        <w:t xml:space="preserve">Click </w:t>
      </w:r>
      <w:r w:rsidR="00DC0B12" w:rsidRPr="00DC0B12">
        <w:rPr>
          <w:b/>
          <w:sz w:val="20"/>
          <w:szCs w:val="20"/>
        </w:rPr>
        <w:t>USGS Topo Vector Prep</w:t>
      </w:r>
      <w:r w:rsidR="00DC0B12" w:rsidRPr="00DC0B12">
        <w:rPr>
          <w:sz w:val="20"/>
          <w:szCs w:val="20"/>
        </w:rPr>
        <w:t xml:space="preserve"> </w:t>
      </w:r>
      <w:r w:rsidR="00522926">
        <w:rPr>
          <w:sz w:val="20"/>
          <w:szCs w:val="20"/>
        </w:rPr>
        <w:t xml:space="preserve">on the toolbar, </w:t>
      </w:r>
      <w:r w:rsidR="00DC0B12">
        <w:rPr>
          <w:sz w:val="20"/>
          <w:szCs w:val="20"/>
        </w:rPr>
        <w:t xml:space="preserve">and supply </w:t>
      </w:r>
      <w:r w:rsidR="00522926">
        <w:rPr>
          <w:sz w:val="20"/>
          <w:szCs w:val="20"/>
        </w:rPr>
        <w:t xml:space="preserve">dialog </w:t>
      </w:r>
      <w:r w:rsidR="00DC0B12">
        <w:rPr>
          <w:sz w:val="20"/>
          <w:szCs w:val="20"/>
        </w:rPr>
        <w:t xml:space="preserve">inputs, as </w:t>
      </w:r>
      <w:r w:rsidR="00BE0FA2">
        <w:rPr>
          <w:sz w:val="20"/>
          <w:szCs w:val="20"/>
        </w:rPr>
        <w:t xml:space="preserve">shown </w:t>
      </w:r>
      <w:r w:rsidR="007E6036">
        <w:rPr>
          <w:sz w:val="20"/>
          <w:szCs w:val="20"/>
        </w:rPr>
        <w:t>above</w:t>
      </w:r>
      <w:r w:rsidR="00BE0FA2">
        <w:rPr>
          <w:sz w:val="20"/>
          <w:szCs w:val="20"/>
        </w:rPr>
        <w:t>.</w:t>
      </w:r>
    </w:p>
    <w:p w:rsidR="00596976" w:rsidRDefault="000A5C3C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Specify </w:t>
      </w:r>
      <w:r w:rsidR="007E6036" w:rsidRPr="000A5C3C">
        <w:rPr>
          <w:b/>
          <w:sz w:val="20"/>
          <w:szCs w:val="20"/>
        </w:rPr>
        <w:t>Online</w:t>
      </w:r>
      <w:r w:rsidR="007E6036" w:rsidRPr="000A5C3C">
        <w:rPr>
          <w:sz w:val="20"/>
          <w:szCs w:val="20"/>
        </w:rPr>
        <w:t xml:space="preserve"> if data will be downloaded from USGS FTP servers</w:t>
      </w:r>
      <w:r>
        <w:rPr>
          <w:sz w:val="20"/>
          <w:szCs w:val="20"/>
        </w:rPr>
        <w:t xml:space="preserve">, or </w:t>
      </w:r>
      <w:r w:rsidR="007E6036" w:rsidRPr="000A5C3C">
        <w:rPr>
          <w:b/>
          <w:sz w:val="20"/>
          <w:szCs w:val="20"/>
        </w:rPr>
        <w:t>Local</w:t>
      </w:r>
      <w:r w:rsidR="007E6036" w:rsidRPr="000A5C3C">
        <w:rPr>
          <w:sz w:val="20"/>
          <w:szCs w:val="20"/>
        </w:rPr>
        <w:t xml:space="preserve"> if </w:t>
      </w:r>
      <w:r>
        <w:rPr>
          <w:sz w:val="20"/>
          <w:szCs w:val="20"/>
        </w:rPr>
        <w:t xml:space="preserve">users have a local library of </w:t>
      </w:r>
      <w:r w:rsidR="00707E76">
        <w:rPr>
          <w:sz w:val="20"/>
          <w:szCs w:val="20"/>
        </w:rPr>
        <w:t xml:space="preserve">zipped </w:t>
      </w:r>
      <w:r>
        <w:rPr>
          <w:sz w:val="20"/>
          <w:szCs w:val="20"/>
        </w:rPr>
        <w:t xml:space="preserve">USGS topo vector </w:t>
      </w:r>
      <w:r w:rsidR="00707E76">
        <w:rPr>
          <w:sz w:val="20"/>
          <w:szCs w:val="20"/>
        </w:rPr>
        <w:t>GDBs</w:t>
      </w:r>
      <w:r w:rsidR="00522926">
        <w:rPr>
          <w:sz w:val="20"/>
          <w:szCs w:val="20"/>
        </w:rPr>
        <w:t xml:space="preserve"> that can be copied directly</w:t>
      </w:r>
      <w:r>
        <w:rPr>
          <w:sz w:val="20"/>
          <w:szCs w:val="20"/>
        </w:rPr>
        <w:t>.</w:t>
      </w:r>
    </w:p>
    <w:p w:rsidR="000A5C3C" w:rsidRDefault="000A5C3C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Specify the root folder of a user's USGS topo vector data library if </w:t>
      </w:r>
      <w:r w:rsidRPr="000A5C3C">
        <w:rPr>
          <w:b/>
          <w:sz w:val="20"/>
          <w:szCs w:val="20"/>
        </w:rPr>
        <w:t>Local</w:t>
      </w:r>
      <w:r>
        <w:rPr>
          <w:sz w:val="20"/>
          <w:szCs w:val="20"/>
        </w:rPr>
        <w:t xml:space="preserve"> was specified as the first input.  The data library must be structured as </w:t>
      </w:r>
      <w:r w:rsidR="005704C5">
        <w:rPr>
          <w:sz w:val="20"/>
          <w:szCs w:val="20"/>
        </w:rPr>
        <w:t xml:space="preserve">a series of two-character </w:t>
      </w:r>
      <w:r>
        <w:rPr>
          <w:sz w:val="20"/>
          <w:szCs w:val="20"/>
        </w:rPr>
        <w:t>state abbreviation folders</w:t>
      </w:r>
      <w:r w:rsidR="00CF6D4A">
        <w:rPr>
          <w:sz w:val="20"/>
          <w:szCs w:val="20"/>
        </w:rPr>
        <w:t xml:space="preserve">, with each folder </w:t>
      </w:r>
      <w:r w:rsidR="005704C5">
        <w:rPr>
          <w:sz w:val="20"/>
          <w:szCs w:val="20"/>
        </w:rPr>
        <w:t>contain</w:t>
      </w:r>
      <w:r w:rsidR="00CF6D4A">
        <w:rPr>
          <w:sz w:val="20"/>
          <w:szCs w:val="20"/>
        </w:rPr>
        <w:t>ing</w:t>
      </w:r>
      <w:r w:rsidR="005704C5">
        <w:rPr>
          <w:sz w:val="20"/>
          <w:szCs w:val="20"/>
        </w:rPr>
        <w:t xml:space="preserve"> that state's zipped topo vector GDBs.  See the example </w:t>
      </w:r>
      <w:r>
        <w:rPr>
          <w:sz w:val="20"/>
          <w:szCs w:val="20"/>
        </w:rPr>
        <w:t>above right.</w:t>
      </w:r>
    </w:p>
    <w:p w:rsidR="00CF6D4A" w:rsidRDefault="000A5C3C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Specify a folder </w:t>
      </w:r>
      <w:r w:rsidR="00CF6D4A">
        <w:rPr>
          <w:sz w:val="20"/>
          <w:szCs w:val="20"/>
        </w:rPr>
        <w:t xml:space="preserve">where the final </w:t>
      </w:r>
      <w:r>
        <w:rPr>
          <w:sz w:val="20"/>
          <w:szCs w:val="20"/>
        </w:rPr>
        <w:t xml:space="preserve">USGS topo vector </w:t>
      </w:r>
      <w:r w:rsidR="000010A2">
        <w:rPr>
          <w:sz w:val="20"/>
          <w:szCs w:val="20"/>
        </w:rPr>
        <w:t>GDB</w:t>
      </w:r>
      <w:r>
        <w:rPr>
          <w:sz w:val="20"/>
          <w:szCs w:val="20"/>
        </w:rPr>
        <w:t xml:space="preserve"> and LYR file</w:t>
      </w:r>
      <w:r w:rsidR="00CF6D4A">
        <w:rPr>
          <w:sz w:val="20"/>
          <w:szCs w:val="20"/>
        </w:rPr>
        <w:t xml:space="preserve"> will be created.</w:t>
      </w:r>
    </w:p>
    <w:p w:rsidR="00CF6D4A" w:rsidRDefault="000A5C3C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Specify a</w:t>
      </w:r>
      <w:r w:rsidR="00CF6D4A">
        <w:rPr>
          <w:sz w:val="20"/>
          <w:szCs w:val="20"/>
        </w:rPr>
        <w:t xml:space="preserve"> point, line, or polygon feature layer that encompas</w:t>
      </w:r>
      <w:r w:rsidR="00522926">
        <w:rPr>
          <w:sz w:val="20"/>
          <w:szCs w:val="20"/>
        </w:rPr>
        <w:t>s</w:t>
      </w:r>
      <w:r w:rsidR="00CF6D4A">
        <w:rPr>
          <w:sz w:val="20"/>
          <w:szCs w:val="20"/>
        </w:rPr>
        <w:t>es the user's area of interest (AOI).</w:t>
      </w:r>
    </w:p>
    <w:p w:rsidR="00AA6E79" w:rsidRDefault="00AA6E79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Specify a </w:t>
      </w:r>
      <w:r w:rsidR="00CF6D4A">
        <w:rPr>
          <w:sz w:val="20"/>
          <w:szCs w:val="20"/>
        </w:rPr>
        <w:t>distance and linear unit</w:t>
      </w:r>
      <w:r w:rsidR="004E61E7">
        <w:rPr>
          <w:sz w:val="20"/>
          <w:szCs w:val="20"/>
        </w:rPr>
        <w:t xml:space="preserve">, </w:t>
      </w:r>
      <w:r w:rsidR="00CF6D4A">
        <w:rPr>
          <w:sz w:val="20"/>
          <w:szCs w:val="20"/>
        </w:rPr>
        <w:t xml:space="preserve">like </w:t>
      </w:r>
      <w:r w:rsidR="00CF6D4A" w:rsidRPr="00CF6D4A">
        <w:rPr>
          <w:b/>
          <w:sz w:val="20"/>
          <w:szCs w:val="20"/>
        </w:rPr>
        <w:t>5 miles</w:t>
      </w:r>
      <w:r w:rsidR="004E61E7">
        <w:rPr>
          <w:sz w:val="20"/>
          <w:szCs w:val="20"/>
        </w:rPr>
        <w:t xml:space="preserve">, </w:t>
      </w:r>
      <w:r w:rsidR="00CF6D4A">
        <w:rPr>
          <w:sz w:val="20"/>
          <w:szCs w:val="20"/>
        </w:rPr>
        <w:t xml:space="preserve">to define </w:t>
      </w:r>
      <w:r w:rsidR="004E61E7">
        <w:rPr>
          <w:sz w:val="20"/>
          <w:szCs w:val="20"/>
        </w:rPr>
        <w:t xml:space="preserve">a </w:t>
      </w:r>
      <w:r w:rsidR="00CF6D4A">
        <w:rPr>
          <w:sz w:val="20"/>
          <w:szCs w:val="20"/>
        </w:rPr>
        <w:t xml:space="preserve">desired buffer beyond the AOI's </w:t>
      </w:r>
      <w:r w:rsidR="00AB40E3">
        <w:rPr>
          <w:sz w:val="20"/>
          <w:szCs w:val="20"/>
        </w:rPr>
        <w:t xml:space="preserve">extents.  </w:t>
      </w:r>
      <w:r w:rsidR="00BD514A">
        <w:rPr>
          <w:sz w:val="20"/>
          <w:szCs w:val="20"/>
        </w:rPr>
        <w:t xml:space="preserve">The </w:t>
      </w:r>
      <w:r w:rsidR="00CF6D4A">
        <w:rPr>
          <w:sz w:val="20"/>
          <w:szCs w:val="20"/>
        </w:rPr>
        <w:t xml:space="preserve">number of quads </w:t>
      </w:r>
      <w:r w:rsidR="000D731F">
        <w:rPr>
          <w:sz w:val="20"/>
          <w:szCs w:val="20"/>
        </w:rPr>
        <w:t xml:space="preserve">that will be retrieved is shown in the dialog's </w:t>
      </w:r>
      <w:r w:rsidR="00AB40E3">
        <w:rPr>
          <w:sz w:val="20"/>
          <w:szCs w:val="20"/>
        </w:rPr>
        <w:t>lower-left corner.</w:t>
      </w:r>
    </w:p>
    <w:p w:rsidR="00BD514A" w:rsidRDefault="00C1228C" w:rsidP="000A5C3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If desired, use the </w:t>
      </w:r>
      <w:r w:rsidRPr="00C1228C">
        <w:rPr>
          <w:b/>
          <w:sz w:val="20"/>
          <w:szCs w:val="20"/>
        </w:rPr>
        <w:t>Environments...</w:t>
      </w:r>
      <w:r>
        <w:rPr>
          <w:sz w:val="20"/>
          <w:szCs w:val="20"/>
        </w:rPr>
        <w:t xml:space="preserve"> button to project results into a </w:t>
      </w:r>
      <w:r w:rsidR="00707E76">
        <w:rPr>
          <w:sz w:val="20"/>
          <w:szCs w:val="20"/>
        </w:rPr>
        <w:t>preferred</w:t>
      </w:r>
      <w:r>
        <w:rPr>
          <w:sz w:val="20"/>
          <w:szCs w:val="20"/>
        </w:rPr>
        <w:t xml:space="preserve"> spatial reference.</w:t>
      </w:r>
    </w:p>
    <w:p w:rsidR="00AB40E3" w:rsidRDefault="00AB40E3" w:rsidP="00AB40E3">
      <w:pPr>
        <w:rPr>
          <w:sz w:val="20"/>
          <w:szCs w:val="20"/>
        </w:rPr>
      </w:pPr>
    </w:p>
    <w:p w:rsidR="000010A2" w:rsidRDefault="00654FAB" w:rsidP="00AB40E3">
      <w:pPr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Pr="00654FAB">
        <w:rPr>
          <w:b/>
          <w:sz w:val="20"/>
          <w:szCs w:val="20"/>
        </w:rPr>
        <w:t>OK</w:t>
      </w:r>
      <w:r>
        <w:rPr>
          <w:sz w:val="20"/>
          <w:szCs w:val="20"/>
        </w:rPr>
        <w:t xml:space="preserve">, and a </w:t>
      </w:r>
      <w:r w:rsidR="00C375A3">
        <w:rPr>
          <w:sz w:val="20"/>
          <w:szCs w:val="20"/>
        </w:rPr>
        <w:t xml:space="preserve">process log informs users </w:t>
      </w:r>
      <w:r w:rsidR="00AB40E3">
        <w:rPr>
          <w:sz w:val="20"/>
          <w:szCs w:val="20"/>
        </w:rPr>
        <w:t xml:space="preserve">of </w:t>
      </w:r>
      <w:r>
        <w:rPr>
          <w:sz w:val="20"/>
          <w:szCs w:val="20"/>
        </w:rPr>
        <w:t>tool</w:t>
      </w:r>
      <w:r w:rsidR="00AB40E3">
        <w:rPr>
          <w:sz w:val="20"/>
          <w:szCs w:val="20"/>
        </w:rPr>
        <w:t xml:space="preserve"> progress.</w:t>
      </w:r>
      <w:r w:rsidR="004E61E7">
        <w:rPr>
          <w:sz w:val="20"/>
          <w:szCs w:val="20"/>
        </w:rPr>
        <w:t xml:space="preserve">  </w:t>
      </w:r>
      <w:r w:rsidR="000010A2">
        <w:rPr>
          <w:sz w:val="20"/>
          <w:szCs w:val="20"/>
        </w:rPr>
        <w:t xml:space="preserve">The end result is a USGS topo vector GDB and </w:t>
      </w:r>
      <w:r w:rsidR="00DA17D4">
        <w:rPr>
          <w:sz w:val="20"/>
          <w:szCs w:val="20"/>
        </w:rPr>
        <w:t xml:space="preserve">symbolizing </w:t>
      </w:r>
      <w:r w:rsidR="000010A2">
        <w:rPr>
          <w:sz w:val="20"/>
          <w:szCs w:val="20"/>
        </w:rPr>
        <w:t xml:space="preserve">LYR file.  </w:t>
      </w:r>
      <w:r w:rsidR="00A80B98">
        <w:rPr>
          <w:sz w:val="20"/>
          <w:szCs w:val="20"/>
        </w:rPr>
        <w:t>Of course, u</w:t>
      </w:r>
      <w:r w:rsidR="000010A2">
        <w:rPr>
          <w:sz w:val="20"/>
          <w:szCs w:val="20"/>
        </w:rPr>
        <w:t xml:space="preserve">sers </w:t>
      </w:r>
      <w:r w:rsidR="00761992">
        <w:rPr>
          <w:sz w:val="20"/>
          <w:szCs w:val="20"/>
        </w:rPr>
        <w:t xml:space="preserve">may </w:t>
      </w:r>
      <w:r w:rsidR="000010A2">
        <w:rPr>
          <w:sz w:val="20"/>
          <w:szCs w:val="20"/>
        </w:rPr>
        <w:t>apply their own symbology</w:t>
      </w:r>
      <w:r w:rsidR="00802540">
        <w:rPr>
          <w:sz w:val="20"/>
          <w:szCs w:val="20"/>
        </w:rPr>
        <w:t xml:space="preserve"> </w:t>
      </w:r>
      <w:r w:rsidR="00BE0FA2">
        <w:rPr>
          <w:sz w:val="20"/>
          <w:szCs w:val="20"/>
        </w:rPr>
        <w:t>or label</w:t>
      </w:r>
      <w:r w:rsidR="000D731F">
        <w:rPr>
          <w:sz w:val="20"/>
          <w:szCs w:val="20"/>
        </w:rPr>
        <w:t>ing</w:t>
      </w:r>
      <w:r w:rsidR="00DA17D4">
        <w:rPr>
          <w:sz w:val="20"/>
          <w:szCs w:val="20"/>
        </w:rPr>
        <w:t xml:space="preserve"> as they see fit</w:t>
      </w:r>
      <w:r w:rsidR="000D731F">
        <w:rPr>
          <w:sz w:val="20"/>
          <w:szCs w:val="20"/>
        </w:rPr>
        <w:t>.</w:t>
      </w:r>
    </w:p>
    <w:p w:rsidR="004E61E7" w:rsidRDefault="004E61E7" w:rsidP="00AB40E3">
      <w:pPr>
        <w:rPr>
          <w:sz w:val="20"/>
          <w:szCs w:val="20"/>
        </w:rPr>
      </w:pPr>
    </w:p>
    <w:p w:rsidR="00DD332C" w:rsidRDefault="00A35B9F">
      <w:pPr>
        <w:rPr>
          <w:sz w:val="20"/>
          <w:szCs w:val="20"/>
        </w:rPr>
      </w:pPr>
      <w:r>
        <w:rPr>
          <w:sz w:val="20"/>
          <w:szCs w:val="20"/>
        </w:rPr>
        <w:t xml:space="preserve">During testing, a 24-quad dataset </w:t>
      </w:r>
      <w:r w:rsidR="00DA17D4">
        <w:rPr>
          <w:sz w:val="20"/>
          <w:szCs w:val="20"/>
        </w:rPr>
        <w:t xml:space="preserve">was cooked </w:t>
      </w:r>
      <w:r>
        <w:rPr>
          <w:sz w:val="20"/>
          <w:szCs w:val="20"/>
        </w:rPr>
        <w:t>in 9 minutes, 25 seconds from an online data source, less than 25 seconds per quad, so it is pretty fast</w:t>
      </w:r>
      <w:r w:rsidR="000D731F">
        <w:rPr>
          <w:sz w:val="20"/>
          <w:szCs w:val="20"/>
        </w:rPr>
        <w:t>.</w:t>
      </w:r>
      <w:r w:rsidR="00DD332C">
        <w:rPr>
          <w:sz w:val="20"/>
          <w:szCs w:val="20"/>
        </w:rPr>
        <w:br w:type="page"/>
      </w:r>
    </w:p>
    <w:p w:rsidR="001C5153" w:rsidRDefault="00982939" w:rsidP="00AB40E3">
      <w:pPr>
        <w:rPr>
          <w:sz w:val="20"/>
          <w:szCs w:val="20"/>
        </w:rPr>
      </w:pPr>
      <w:r w:rsidRPr="00982939">
        <w:rPr>
          <w:b/>
          <w:sz w:val="20"/>
          <w:szCs w:val="20"/>
          <w:shd w:val="clear" w:color="auto" w:fill="D9D9D9" w:themeFill="background1" w:themeFillShade="D9"/>
        </w:rPr>
        <w:lastRenderedPageBreak/>
        <w:t>Results</w:t>
      </w:r>
      <w:r>
        <w:rPr>
          <w:sz w:val="20"/>
          <w:szCs w:val="20"/>
        </w:rPr>
        <w:t xml:space="preserve"> - </w:t>
      </w:r>
      <w:r w:rsidR="00987010">
        <w:rPr>
          <w:sz w:val="20"/>
          <w:szCs w:val="20"/>
        </w:rPr>
        <w:t xml:space="preserve">The resulting GDB and LYR are represented in the </w:t>
      </w:r>
      <w:r w:rsidR="001C5153">
        <w:rPr>
          <w:sz w:val="20"/>
          <w:szCs w:val="20"/>
        </w:rPr>
        <w:t>T</w:t>
      </w:r>
      <w:r w:rsidR="003C11A4">
        <w:rPr>
          <w:sz w:val="20"/>
          <w:szCs w:val="20"/>
        </w:rPr>
        <w:t>able of Contents (T</w:t>
      </w:r>
      <w:r w:rsidR="001C5153">
        <w:rPr>
          <w:sz w:val="20"/>
          <w:szCs w:val="20"/>
        </w:rPr>
        <w:t>OC</w:t>
      </w:r>
      <w:r w:rsidR="003C11A4">
        <w:rPr>
          <w:sz w:val="20"/>
          <w:szCs w:val="20"/>
        </w:rPr>
        <w:t>)</w:t>
      </w:r>
      <w:r w:rsidR="001C5153">
        <w:rPr>
          <w:sz w:val="20"/>
          <w:szCs w:val="20"/>
        </w:rPr>
        <w:t xml:space="preserve"> </w:t>
      </w:r>
      <w:r w:rsidR="00987010">
        <w:rPr>
          <w:sz w:val="20"/>
          <w:szCs w:val="20"/>
        </w:rPr>
        <w:t>see</w:t>
      </w:r>
      <w:r w:rsidR="004C7D73">
        <w:rPr>
          <w:sz w:val="20"/>
          <w:szCs w:val="20"/>
        </w:rPr>
        <w:t>n</w:t>
      </w:r>
      <w:r w:rsidR="00987010">
        <w:rPr>
          <w:sz w:val="20"/>
          <w:szCs w:val="20"/>
        </w:rPr>
        <w:t xml:space="preserve"> at rig</w:t>
      </w:r>
      <w:r w:rsidR="00987010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2724694" y="933450"/>
            <wp:positionH relativeFrom="margin">
              <wp:align>right</wp:align>
            </wp:positionH>
            <wp:positionV relativeFrom="margin">
              <wp:align>top</wp:align>
            </wp:positionV>
            <wp:extent cx="1823176" cy="5117193"/>
            <wp:effectExtent l="38100" t="19050" r="24674" b="26307"/>
            <wp:wrapSquare wrapText="left"/>
            <wp:docPr id="6" name="Picture 5" descr="T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C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76" cy="5117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87010">
        <w:rPr>
          <w:sz w:val="20"/>
          <w:szCs w:val="20"/>
        </w:rPr>
        <w:t xml:space="preserve">ht.  The </w:t>
      </w:r>
      <w:r w:rsidR="00987010" w:rsidRPr="004C7D73">
        <w:rPr>
          <w:b/>
          <w:sz w:val="20"/>
          <w:szCs w:val="20"/>
        </w:rPr>
        <w:t>Quad frame</w:t>
      </w:r>
      <w:r w:rsidR="00987010">
        <w:rPr>
          <w:sz w:val="20"/>
          <w:szCs w:val="20"/>
        </w:rPr>
        <w:t xml:space="preserve"> and </w:t>
      </w:r>
      <w:r w:rsidR="00987010" w:rsidRPr="004C7D73">
        <w:rPr>
          <w:b/>
          <w:sz w:val="20"/>
          <w:szCs w:val="20"/>
        </w:rPr>
        <w:t>Boundary</w:t>
      </w:r>
      <w:r w:rsidR="00987010">
        <w:rPr>
          <w:sz w:val="20"/>
          <w:szCs w:val="20"/>
        </w:rPr>
        <w:t xml:space="preserve"> layers are visible at all scales,</w:t>
      </w:r>
      <w:r w:rsidR="004C7D73">
        <w:rPr>
          <w:sz w:val="20"/>
          <w:szCs w:val="20"/>
        </w:rPr>
        <w:t xml:space="preserve"> polygon and line</w:t>
      </w:r>
      <w:r w:rsidR="003C11A4">
        <w:rPr>
          <w:sz w:val="20"/>
          <w:szCs w:val="20"/>
        </w:rPr>
        <w:t xml:space="preserve"> layers</w:t>
      </w:r>
      <w:r w:rsidR="004C7D73">
        <w:rPr>
          <w:sz w:val="20"/>
          <w:szCs w:val="20"/>
        </w:rPr>
        <w:t xml:space="preserve"> appear at 1:100,000 scale, and point</w:t>
      </w:r>
      <w:r w:rsidR="003C11A4">
        <w:rPr>
          <w:sz w:val="20"/>
          <w:szCs w:val="20"/>
        </w:rPr>
        <w:t xml:space="preserve"> layer</w:t>
      </w:r>
      <w:r w:rsidR="004C7D73">
        <w:rPr>
          <w:sz w:val="20"/>
          <w:szCs w:val="20"/>
        </w:rPr>
        <w:t xml:space="preserve">s and labels appear at 1:50,000 scale.  </w:t>
      </w:r>
      <w:r w:rsidR="00456B23">
        <w:rPr>
          <w:sz w:val="20"/>
          <w:szCs w:val="20"/>
        </w:rPr>
        <w:t>T</w:t>
      </w:r>
      <w:r w:rsidR="004C7D73">
        <w:rPr>
          <w:sz w:val="20"/>
          <w:szCs w:val="20"/>
        </w:rPr>
        <w:t xml:space="preserve">he LYR's </w:t>
      </w:r>
      <w:r w:rsidR="001C5153">
        <w:rPr>
          <w:sz w:val="20"/>
          <w:szCs w:val="20"/>
        </w:rPr>
        <w:t xml:space="preserve">features are </w:t>
      </w:r>
      <w:r w:rsidR="004C7D73">
        <w:rPr>
          <w:sz w:val="20"/>
          <w:szCs w:val="20"/>
        </w:rPr>
        <w:t xml:space="preserve">configured </w:t>
      </w:r>
      <w:r w:rsidR="001C5153">
        <w:rPr>
          <w:sz w:val="20"/>
          <w:szCs w:val="20"/>
        </w:rPr>
        <w:t xml:space="preserve">to </w:t>
      </w:r>
      <w:r w:rsidR="00987010">
        <w:rPr>
          <w:sz w:val="20"/>
          <w:szCs w:val="20"/>
        </w:rPr>
        <w:t>sca</w:t>
      </w:r>
      <w:r w:rsidR="004C7D73">
        <w:rPr>
          <w:sz w:val="20"/>
          <w:szCs w:val="20"/>
        </w:rPr>
        <w:t xml:space="preserve">le </w:t>
      </w:r>
      <w:r w:rsidR="0010189D">
        <w:rPr>
          <w:sz w:val="20"/>
          <w:szCs w:val="20"/>
        </w:rPr>
        <w:t xml:space="preserve">up and down </w:t>
      </w:r>
      <w:r w:rsidR="00456B23">
        <w:rPr>
          <w:sz w:val="20"/>
          <w:szCs w:val="20"/>
        </w:rPr>
        <w:t xml:space="preserve">if the user </w:t>
      </w:r>
      <w:r w:rsidR="0010189D">
        <w:rPr>
          <w:sz w:val="20"/>
          <w:szCs w:val="20"/>
        </w:rPr>
        <w:t xml:space="preserve">elects to apply </w:t>
      </w:r>
      <w:r w:rsidR="00456B23">
        <w:rPr>
          <w:sz w:val="20"/>
          <w:szCs w:val="20"/>
        </w:rPr>
        <w:t>a reference scale to the data frame.</w:t>
      </w:r>
    </w:p>
    <w:p w:rsidR="004C7D73" w:rsidRDefault="004C7D73" w:rsidP="00AB40E3">
      <w:pPr>
        <w:rPr>
          <w:sz w:val="20"/>
          <w:szCs w:val="20"/>
        </w:rPr>
      </w:pPr>
    </w:p>
    <w:p w:rsidR="001C5153" w:rsidRDefault="001C5153" w:rsidP="00AB40E3">
      <w:pPr>
        <w:rPr>
          <w:sz w:val="20"/>
          <w:szCs w:val="20"/>
        </w:rPr>
      </w:pPr>
    </w:p>
    <w:p w:rsidR="00DD332C" w:rsidRDefault="0099735B" w:rsidP="00DD332C">
      <w:pPr>
        <w:rPr>
          <w:sz w:val="20"/>
          <w:szCs w:val="20"/>
        </w:rPr>
      </w:pPr>
      <w:r w:rsidRPr="0099735B">
        <w:rPr>
          <w:b/>
          <w:sz w:val="20"/>
          <w:szCs w:val="20"/>
          <w:shd w:val="clear" w:color="auto" w:fill="D9D9D9" w:themeFill="background1" w:themeFillShade="D9"/>
        </w:rPr>
        <w:t>I</w:t>
      </w:r>
      <w:r w:rsidR="00DD332C" w:rsidRPr="0099735B">
        <w:rPr>
          <w:b/>
          <w:sz w:val="20"/>
          <w:szCs w:val="20"/>
          <w:shd w:val="clear" w:color="auto" w:fill="D9D9D9" w:themeFill="background1" w:themeFillShade="D9"/>
        </w:rPr>
        <w:t>ssues</w:t>
      </w:r>
      <w:r w:rsidR="00DD332C">
        <w:rPr>
          <w:sz w:val="20"/>
          <w:szCs w:val="20"/>
        </w:rPr>
        <w:t xml:space="preserve"> - USGS </w:t>
      </w:r>
      <w:r w:rsidR="00DD332C" w:rsidRPr="00B6719B">
        <w:rPr>
          <w:sz w:val="20"/>
          <w:szCs w:val="20"/>
        </w:rPr>
        <w:t xml:space="preserve">topo </w:t>
      </w:r>
      <w:r w:rsidR="00DD332C">
        <w:rPr>
          <w:sz w:val="20"/>
          <w:szCs w:val="20"/>
        </w:rPr>
        <w:t xml:space="preserve">vector </w:t>
      </w:r>
      <w:r w:rsidR="00DD332C" w:rsidRPr="00B6719B">
        <w:rPr>
          <w:sz w:val="20"/>
          <w:szCs w:val="20"/>
        </w:rPr>
        <w:t>datasets have</w:t>
      </w:r>
      <w:r w:rsidR="00DD332C">
        <w:rPr>
          <w:sz w:val="20"/>
          <w:szCs w:val="20"/>
        </w:rPr>
        <w:t xml:space="preserve"> many advantages, but they </w:t>
      </w:r>
      <w:r w:rsidR="003C11A4">
        <w:rPr>
          <w:sz w:val="20"/>
          <w:szCs w:val="20"/>
        </w:rPr>
        <w:t>also</w:t>
      </w:r>
      <w:r w:rsidR="00DD332C">
        <w:rPr>
          <w:sz w:val="20"/>
          <w:szCs w:val="20"/>
        </w:rPr>
        <w:t xml:space="preserve"> present some challenges.</w:t>
      </w:r>
    </w:p>
    <w:p w:rsidR="00DD332C" w:rsidRDefault="00DD332C" w:rsidP="00DD332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74838">
        <w:rPr>
          <w:sz w:val="20"/>
          <w:szCs w:val="20"/>
        </w:rPr>
        <w:t xml:space="preserve">Labeling </w:t>
      </w:r>
      <w:r w:rsidR="003C11A4">
        <w:rPr>
          <w:sz w:val="20"/>
          <w:szCs w:val="20"/>
        </w:rPr>
        <w:t xml:space="preserve">vector topo </w:t>
      </w:r>
      <w:r w:rsidRPr="00674838">
        <w:rPr>
          <w:sz w:val="20"/>
          <w:szCs w:val="20"/>
        </w:rPr>
        <w:t xml:space="preserve">features, like roads </w:t>
      </w:r>
      <w:r>
        <w:rPr>
          <w:sz w:val="20"/>
          <w:szCs w:val="20"/>
        </w:rPr>
        <w:t>or</w:t>
      </w:r>
      <w:r w:rsidRPr="00674838">
        <w:rPr>
          <w:sz w:val="20"/>
          <w:szCs w:val="20"/>
        </w:rPr>
        <w:t xml:space="preserve"> contour lines, may be</w:t>
      </w:r>
      <w:r>
        <w:rPr>
          <w:sz w:val="20"/>
          <w:szCs w:val="20"/>
        </w:rPr>
        <w:t>come</w:t>
      </w:r>
      <w:r w:rsidRPr="00674838">
        <w:rPr>
          <w:sz w:val="20"/>
          <w:szCs w:val="20"/>
        </w:rPr>
        <w:t xml:space="preserve"> difficult due to </w:t>
      </w:r>
      <w:r>
        <w:rPr>
          <w:sz w:val="20"/>
          <w:szCs w:val="20"/>
        </w:rPr>
        <w:t>high feature density</w:t>
      </w:r>
      <w:r w:rsidR="003C11A4">
        <w:rPr>
          <w:sz w:val="20"/>
          <w:szCs w:val="20"/>
        </w:rPr>
        <w:t xml:space="preserve"> and competition for label space</w:t>
      </w:r>
      <w:r>
        <w:rPr>
          <w:sz w:val="20"/>
          <w:szCs w:val="20"/>
        </w:rPr>
        <w:t>.</w:t>
      </w:r>
      <w:r w:rsidR="00C63567">
        <w:rPr>
          <w:sz w:val="20"/>
          <w:szCs w:val="20"/>
        </w:rPr>
        <w:t xml:space="preserve">  Users may need to spend some time fiddling with label </w:t>
      </w:r>
      <w:r w:rsidR="00C63567" w:rsidRPr="00C63567">
        <w:rPr>
          <w:b/>
          <w:sz w:val="20"/>
          <w:szCs w:val="20"/>
        </w:rPr>
        <w:t>Priority</w:t>
      </w:r>
      <w:r w:rsidR="00C63567">
        <w:rPr>
          <w:sz w:val="20"/>
          <w:szCs w:val="20"/>
        </w:rPr>
        <w:t xml:space="preserve"> and </w:t>
      </w:r>
      <w:r w:rsidR="00C63567" w:rsidRPr="00C63567">
        <w:rPr>
          <w:b/>
          <w:sz w:val="20"/>
          <w:szCs w:val="20"/>
        </w:rPr>
        <w:t>Weight</w:t>
      </w:r>
      <w:r w:rsidR="00C63567">
        <w:rPr>
          <w:sz w:val="20"/>
          <w:szCs w:val="20"/>
        </w:rPr>
        <w:t xml:space="preserve"> rankings</w:t>
      </w:r>
      <w:r w:rsidR="00897AF8">
        <w:rPr>
          <w:sz w:val="20"/>
          <w:szCs w:val="20"/>
        </w:rPr>
        <w:t xml:space="preserve"> in Maplex</w:t>
      </w:r>
      <w:r w:rsidR="00C63567">
        <w:rPr>
          <w:sz w:val="20"/>
          <w:szCs w:val="20"/>
        </w:rPr>
        <w:t>.</w:t>
      </w:r>
    </w:p>
    <w:p w:rsidR="00DD332C" w:rsidRDefault="00DD332C" w:rsidP="00DD332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Many en</w:t>
      </w:r>
      <w:r w:rsidRPr="00674838">
        <w:rPr>
          <w:sz w:val="20"/>
          <w:szCs w:val="20"/>
        </w:rPr>
        <w:t xml:space="preserve">tries </w:t>
      </w:r>
      <w:r>
        <w:rPr>
          <w:sz w:val="20"/>
          <w:szCs w:val="20"/>
        </w:rPr>
        <w:t xml:space="preserve">are added </w:t>
      </w:r>
      <w:r w:rsidRPr="00674838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ArcMap's </w:t>
      </w:r>
      <w:r w:rsidRPr="00674838">
        <w:rPr>
          <w:sz w:val="20"/>
          <w:szCs w:val="20"/>
        </w:rPr>
        <w:t>T</w:t>
      </w:r>
      <w:r w:rsidR="003C11A4">
        <w:rPr>
          <w:sz w:val="20"/>
          <w:szCs w:val="20"/>
        </w:rPr>
        <w:t xml:space="preserve">OC, </w:t>
      </w:r>
      <w:r w:rsidRPr="00674838">
        <w:rPr>
          <w:sz w:val="20"/>
          <w:szCs w:val="20"/>
        </w:rPr>
        <w:t xml:space="preserve">and these can </w:t>
      </w:r>
      <w:r>
        <w:rPr>
          <w:sz w:val="20"/>
          <w:szCs w:val="20"/>
        </w:rPr>
        <w:t xml:space="preserve">be aggravatingly numerous when </w:t>
      </w:r>
      <w:r w:rsidRPr="00674838">
        <w:rPr>
          <w:sz w:val="20"/>
          <w:szCs w:val="20"/>
        </w:rPr>
        <w:t>set</w:t>
      </w:r>
      <w:r>
        <w:rPr>
          <w:sz w:val="20"/>
          <w:szCs w:val="20"/>
        </w:rPr>
        <w:t>ting</w:t>
      </w:r>
      <w:r w:rsidRPr="00674838">
        <w:rPr>
          <w:sz w:val="20"/>
          <w:szCs w:val="20"/>
        </w:rPr>
        <w:t xml:space="preserve"> selectable layers, </w:t>
      </w:r>
      <w:r w:rsidR="00897AF8">
        <w:rPr>
          <w:sz w:val="20"/>
          <w:szCs w:val="20"/>
        </w:rPr>
        <w:t xml:space="preserve">arranging draw order, identifying features, </w:t>
      </w:r>
      <w:r>
        <w:rPr>
          <w:sz w:val="20"/>
          <w:szCs w:val="20"/>
        </w:rPr>
        <w:t xml:space="preserve">managing </w:t>
      </w:r>
      <w:r w:rsidRPr="00674838">
        <w:rPr>
          <w:sz w:val="20"/>
          <w:szCs w:val="20"/>
        </w:rPr>
        <w:t>legends</w:t>
      </w:r>
      <w:r>
        <w:rPr>
          <w:sz w:val="20"/>
          <w:szCs w:val="20"/>
        </w:rPr>
        <w:t>, and so on.</w:t>
      </w:r>
    </w:p>
    <w:p w:rsidR="003C11A4" w:rsidRDefault="003C11A4" w:rsidP="00DD332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Draw performance may </w:t>
      </w:r>
      <w:r w:rsidR="001857DF">
        <w:rPr>
          <w:sz w:val="20"/>
          <w:szCs w:val="20"/>
        </w:rPr>
        <w:t xml:space="preserve">lag </w:t>
      </w:r>
      <w:r>
        <w:rPr>
          <w:sz w:val="20"/>
          <w:szCs w:val="20"/>
        </w:rPr>
        <w:t>due to feature and label density, as well as the many definition queries, label class definitions, and label expression that have to be re-evaluated whenever the screen is panned or refreshed.</w:t>
      </w:r>
    </w:p>
    <w:p w:rsidR="005D4172" w:rsidRDefault="003C11A4" w:rsidP="00DD332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Many features are unable to be dissolved</w:t>
      </w:r>
      <w:r w:rsidR="005D4172">
        <w:rPr>
          <w:sz w:val="20"/>
          <w:szCs w:val="20"/>
        </w:rPr>
        <w:t xml:space="preserve"> because they are not edge-matched closely enough at quad boundaries (like contour lines), or because of inaccurate or inconsistent attribution of edge-matched features (like roads).  Both situations can</w:t>
      </w:r>
      <w:r w:rsidR="00E33025">
        <w:rPr>
          <w:sz w:val="20"/>
          <w:szCs w:val="20"/>
        </w:rPr>
        <w:t xml:space="preserve"> lead to labeling annoyances</w:t>
      </w:r>
      <w:r w:rsidR="005D4172">
        <w:rPr>
          <w:sz w:val="20"/>
          <w:szCs w:val="20"/>
        </w:rPr>
        <w:t>.</w:t>
      </w:r>
    </w:p>
    <w:p w:rsidR="00DA17D4" w:rsidRPr="00B00674" w:rsidRDefault="0030665F" w:rsidP="00AB40E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00674">
        <w:rPr>
          <w:sz w:val="20"/>
          <w:szCs w:val="20"/>
        </w:rPr>
        <w:t xml:space="preserve">There are two road layers.  The </w:t>
      </w:r>
      <w:r w:rsidRPr="00B00674">
        <w:rPr>
          <w:b/>
          <w:sz w:val="20"/>
          <w:szCs w:val="20"/>
        </w:rPr>
        <w:t>Census Road</w:t>
      </w:r>
      <w:r w:rsidRPr="00B00674">
        <w:rPr>
          <w:sz w:val="20"/>
          <w:szCs w:val="20"/>
        </w:rPr>
        <w:t xml:space="preserve"> layer occurs primarily on non-NFS lands, while the </w:t>
      </w:r>
      <w:r w:rsidRPr="00B00674">
        <w:rPr>
          <w:b/>
          <w:sz w:val="20"/>
          <w:szCs w:val="20"/>
        </w:rPr>
        <w:t>USFS Road</w:t>
      </w:r>
      <w:r w:rsidR="00347237">
        <w:rPr>
          <w:sz w:val="20"/>
          <w:szCs w:val="20"/>
        </w:rPr>
        <w:t xml:space="preserve"> layer, </w:t>
      </w:r>
      <w:r w:rsidRPr="00B00674">
        <w:rPr>
          <w:sz w:val="20"/>
          <w:szCs w:val="20"/>
        </w:rPr>
        <w:t xml:space="preserve">predictably, occurs on NFS lands.  </w:t>
      </w:r>
      <w:r w:rsidR="00C63567" w:rsidRPr="00B00674">
        <w:rPr>
          <w:sz w:val="20"/>
          <w:szCs w:val="20"/>
        </w:rPr>
        <w:t>However, t</w:t>
      </w:r>
      <w:r w:rsidRPr="00B00674">
        <w:rPr>
          <w:sz w:val="20"/>
          <w:szCs w:val="20"/>
        </w:rPr>
        <w:t>here are areas of overlap</w:t>
      </w:r>
      <w:r w:rsidR="00C63567" w:rsidRPr="00B00674">
        <w:rPr>
          <w:sz w:val="20"/>
          <w:szCs w:val="20"/>
        </w:rPr>
        <w:t xml:space="preserve"> where geometry</w:t>
      </w:r>
      <w:r w:rsidR="00942CA8" w:rsidRPr="00B00674">
        <w:rPr>
          <w:sz w:val="20"/>
          <w:szCs w:val="20"/>
        </w:rPr>
        <w:t xml:space="preserve">, </w:t>
      </w:r>
      <w:r w:rsidR="00C63567" w:rsidRPr="00B00674">
        <w:rPr>
          <w:sz w:val="20"/>
          <w:szCs w:val="20"/>
        </w:rPr>
        <w:t xml:space="preserve">attribution </w:t>
      </w:r>
      <w:r w:rsidR="00942CA8" w:rsidRPr="00B00674">
        <w:rPr>
          <w:sz w:val="20"/>
          <w:szCs w:val="20"/>
        </w:rPr>
        <w:t xml:space="preserve">and feature density </w:t>
      </w:r>
      <w:r w:rsidR="00C63567" w:rsidRPr="00B00674">
        <w:rPr>
          <w:sz w:val="20"/>
          <w:szCs w:val="20"/>
        </w:rPr>
        <w:t>of the two layers are frequently in disagreement.</w:t>
      </w:r>
      <w:r w:rsidR="00B00674" w:rsidRPr="00B00674">
        <w:rPr>
          <w:sz w:val="20"/>
          <w:szCs w:val="20"/>
        </w:rPr>
        <w:t xml:space="preserve">  With any luck, the incident's hosting agency will be able to provide a decent road layer</w:t>
      </w:r>
      <w:r w:rsidR="00C22E6A">
        <w:rPr>
          <w:sz w:val="20"/>
          <w:szCs w:val="20"/>
        </w:rPr>
        <w:t xml:space="preserve"> that can be substituted for the USGS topo vector roads.</w:t>
      </w:r>
    </w:p>
    <w:p w:rsidR="00877EAE" w:rsidRPr="00877EAE" w:rsidRDefault="00877EAE" w:rsidP="00AB40E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77EAE">
        <w:rPr>
          <w:sz w:val="20"/>
          <w:szCs w:val="20"/>
        </w:rPr>
        <w:t xml:space="preserve">Labeling </w:t>
      </w:r>
      <w:r>
        <w:rPr>
          <w:sz w:val="20"/>
          <w:szCs w:val="20"/>
        </w:rPr>
        <w:t>of</w:t>
      </w:r>
      <w:r w:rsidRPr="00877EAE">
        <w:rPr>
          <w:sz w:val="20"/>
          <w:szCs w:val="20"/>
        </w:rPr>
        <w:t xml:space="preserve"> the </w:t>
      </w:r>
      <w:r w:rsidRPr="00877EAE">
        <w:rPr>
          <w:b/>
          <w:sz w:val="20"/>
          <w:szCs w:val="20"/>
        </w:rPr>
        <w:t>LakePond</w:t>
      </w:r>
      <w:r w:rsidRPr="00877EAE">
        <w:rPr>
          <w:sz w:val="20"/>
          <w:szCs w:val="20"/>
        </w:rPr>
        <w:t xml:space="preserve">, </w:t>
      </w:r>
      <w:r w:rsidRPr="00877EAE">
        <w:rPr>
          <w:b/>
          <w:sz w:val="20"/>
          <w:szCs w:val="20"/>
        </w:rPr>
        <w:t>Reservoir</w:t>
      </w:r>
      <w:r w:rsidRPr="00877EAE">
        <w:rPr>
          <w:sz w:val="20"/>
          <w:szCs w:val="20"/>
        </w:rPr>
        <w:t xml:space="preserve">, </w:t>
      </w:r>
      <w:r w:rsidRPr="00877EAE">
        <w:rPr>
          <w:b/>
          <w:sz w:val="20"/>
          <w:szCs w:val="20"/>
        </w:rPr>
        <w:t>Spring</w:t>
      </w:r>
      <w:r w:rsidRPr="00877EAE">
        <w:rPr>
          <w:sz w:val="20"/>
          <w:szCs w:val="20"/>
        </w:rPr>
        <w:t xml:space="preserve">, and </w:t>
      </w:r>
      <w:r w:rsidRPr="00877EAE">
        <w:rPr>
          <w:b/>
          <w:sz w:val="20"/>
          <w:szCs w:val="20"/>
        </w:rPr>
        <w:t>Well</w:t>
      </w:r>
      <w:r w:rsidRPr="00877EAE">
        <w:rPr>
          <w:sz w:val="20"/>
          <w:szCs w:val="20"/>
        </w:rPr>
        <w:t xml:space="preserve"> feature types in the </w:t>
      </w:r>
      <w:r w:rsidRPr="00877EAE">
        <w:rPr>
          <w:b/>
          <w:sz w:val="20"/>
          <w:szCs w:val="20"/>
        </w:rPr>
        <w:t>Place Name</w:t>
      </w:r>
      <w:r w:rsidRPr="00877EAE">
        <w:rPr>
          <w:sz w:val="20"/>
          <w:szCs w:val="20"/>
        </w:rPr>
        <w:t xml:space="preserve"> (GNIS name) layer </w:t>
      </w:r>
      <w:r w:rsidR="00A16083">
        <w:rPr>
          <w:sz w:val="20"/>
          <w:szCs w:val="20"/>
        </w:rPr>
        <w:t xml:space="preserve">was </w:t>
      </w:r>
      <w:r>
        <w:rPr>
          <w:sz w:val="20"/>
          <w:szCs w:val="20"/>
        </w:rPr>
        <w:t xml:space="preserve">turned off </w:t>
      </w:r>
      <w:r w:rsidRPr="00877EAE">
        <w:rPr>
          <w:sz w:val="20"/>
          <w:szCs w:val="20"/>
        </w:rPr>
        <w:t xml:space="preserve">to avoid double-labeling </w:t>
      </w:r>
      <w:r>
        <w:rPr>
          <w:sz w:val="20"/>
          <w:szCs w:val="20"/>
        </w:rPr>
        <w:t xml:space="preserve">corresponding </w:t>
      </w:r>
      <w:r w:rsidRPr="00877EAE">
        <w:rPr>
          <w:sz w:val="20"/>
          <w:szCs w:val="20"/>
        </w:rPr>
        <w:t>features represented and labeled in the NHD layers.</w:t>
      </w:r>
    </w:p>
    <w:sectPr w:rsidR="00877EAE" w:rsidRPr="00877EAE" w:rsidSect="00A5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674A"/>
    <w:multiLevelType w:val="hybridMultilevel"/>
    <w:tmpl w:val="88B6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44B2"/>
    <w:multiLevelType w:val="hybridMultilevel"/>
    <w:tmpl w:val="6BAA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43D16"/>
    <w:multiLevelType w:val="hybridMultilevel"/>
    <w:tmpl w:val="57F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73E66"/>
    <w:multiLevelType w:val="hybridMultilevel"/>
    <w:tmpl w:val="4494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70757"/>
    <w:multiLevelType w:val="hybridMultilevel"/>
    <w:tmpl w:val="6908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7171A"/>
    <w:multiLevelType w:val="hybridMultilevel"/>
    <w:tmpl w:val="CAD0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74589"/>
    <w:multiLevelType w:val="hybridMultilevel"/>
    <w:tmpl w:val="CD5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B7A7E"/>
    <w:multiLevelType w:val="hybridMultilevel"/>
    <w:tmpl w:val="EDAC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02774"/>
    <w:multiLevelType w:val="hybridMultilevel"/>
    <w:tmpl w:val="801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7D9A"/>
    <w:multiLevelType w:val="hybridMultilevel"/>
    <w:tmpl w:val="8D06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86AE5"/>
    <w:multiLevelType w:val="hybridMultilevel"/>
    <w:tmpl w:val="541C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1327F"/>
    <w:multiLevelType w:val="hybridMultilevel"/>
    <w:tmpl w:val="D0BE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61F9D"/>
    <w:multiLevelType w:val="hybridMultilevel"/>
    <w:tmpl w:val="4744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334FA"/>
    <w:multiLevelType w:val="hybridMultilevel"/>
    <w:tmpl w:val="4BEA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12872"/>
    <w:multiLevelType w:val="hybridMultilevel"/>
    <w:tmpl w:val="CEF2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913C8"/>
    <w:multiLevelType w:val="hybridMultilevel"/>
    <w:tmpl w:val="4BA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13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/>
  <w:defaultTabStop w:val="720"/>
  <w:characterSpacingControl w:val="doNotCompress"/>
  <w:compat/>
  <w:rsids>
    <w:rsidRoot w:val="00EE5547"/>
    <w:rsid w:val="000010A2"/>
    <w:rsid w:val="000131F9"/>
    <w:rsid w:val="000145E3"/>
    <w:rsid w:val="00027F3F"/>
    <w:rsid w:val="00032984"/>
    <w:rsid w:val="00032DAB"/>
    <w:rsid w:val="000400A9"/>
    <w:rsid w:val="000431C9"/>
    <w:rsid w:val="00064C48"/>
    <w:rsid w:val="000926EE"/>
    <w:rsid w:val="00093666"/>
    <w:rsid w:val="00097733"/>
    <w:rsid w:val="000A5C3C"/>
    <w:rsid w:val="000A6F80"/>
    <w:rsid w:val="000B508F"/>
    <w:rsid w:val="000D731F"/>
    <w:rsid w:val="000E0ECE"/>
    <w:rsid w:val="000F5AF2"/>
    <w:rsid w:val="0010189D"/>
    <w:rsid w:val="00103F1B"/>
    <w:rsid w:val="00127EA0"/>
    <w:rsid w:val="001857DF"/>
    <w:rsid w:val="00190CBB"/>
    <w:rsid w:val="00194671"/>
    <w:rsid w:val="001A097A"/>
    <w:rsid w:val="001A2B6C"/>
    <w:rsid w:val="001C5153"/>
    <w:rsid w:val="001F1CFB"/>
    <w:rsid w:val="001F7748"/>
    <w:rsid w:val="002515B9"/>
    <w:rsid w:val="00276181"/>
    <w:rsid w:val="00286F86"/>
    <w:rsid w:val="002A4019"/>
    <w:rsid w:val="002C3C98"/>
    <w:rsid w:val="002C4F05"/>
    <w:rsid w:val="002F49F4"/>
    <w:rsid w:val="0030465E"/>
    <w:rsid w:val="0030665F"/>
    <w:rsid w:val="00330922"/>
    <w:rsid w:val="00347237"/>
    <w:rsid w:val="00351AD8"/>
    <w:rsid w:val="003537C4"/>
    <w:rsid w:val="00364B4C"/>
    <w:rsid w:val="00364F4E"/>
    <w:rsid w:val="00390CEE"/>
    <w:rsid w:val="00397991"/>
    <w:rsid w:val="003A5AE6"/>
    <w:rsid w:val="003A7124"/>
    <w:rsid w:val="003A7E5B"/>
    <w:rsid w:val="003B25FF"/>
    <w:rsid w:val="003C11A4"/>
    <w:rsid w:val="003C6197"/>
    <w:rsid w:val="003F230B"/>
    <w:rsid w:val="00401EC0"/>
    <w:rsid w:val="00403031"/>
    <w:rsid w:val="00450309"/>
    <w:rsid w:val="00456B23"/>
    <w:rsid w:val="0048617B"/>
    <w:rsid w:val="004C3C2F"/>
    <w:rsid w:val="004C7D73"/>
    <w:rsid w:val="004D3ECB"/>
    <w:rsid w:val="004E00E1"/>
    <w:rsid w:val="004E61E7"/>
    <w:rsid w:val="004F5111"/>
    <w:rsid w:val="004F664B"/>
    <w:rsid w:val="005023E1"/>
    <w:rsid w:val="0052001E"/>
    <w:rsid w:val="00522926"/>
    <w:rsid w:val="00535C3D"/>
    <w:rsid w:val="005704C5"/>
    <w:rsid w:val="005714A7"/>
    <w:rsid w:val="00581D79"/>
    <w:rsid w:val="00596976"/>
    <w:rsid w:val="005C6905"/>
    <w:rsid w:val="005D4172"/>
    <w:rsid w:val="005E031C"/>
    <w:rsid w:val="006214B8"/>
    <w:rsid w:val="00625B6E"/>
    <w:rsid w:val="00647437"/>
    <w:rsid w:val="00654FAB"/>
    <w:rsid w:val="0066244E"/>
    <w:rsid w:val="00674838"/>
    <w:rsid w:val="00686C0A"/>
    <w:rsid w:val="006D37F3"/>
    <w:rsid w:val="006E6F23"/>
    <w:rsid w:val="006F7989"/>
    <w:rsid w:val="00707E76"/>
    <w:rsid w:val="00727FB6"/>
    <w:rsid w:val="00761992"/>
    <w:rsid w:val="0078150F"/>
    <w:rsid w:val="00790B2C"/>
    <w:rsid w:val="007A0FF7"/>
    <w:rsid w:val="007C44AE"/>
    <w:rsid w:val="007E6036"/>
    <w:rsid w:val="00802540"/>
    <w:rsid w:val="00823DCB"/>
    <w:rsid w:val="0082535A"/>
    <w:rsid w:val="00826AA0"/>
    <w:rsid w:val="00837612"/>
    <w:rsid w:val="00842EF9"/>
    <w:rsid w:val="00860E50"/>
    <w:rsid w:val="00877EAE"/>
    <w:rsid w:val="00897AF8"/>
    <w:rsid w:val="008A460E"/>
    <w:rsid w:val="008B29F7"/>
    <w:rsid w:val="008B3287"/>
    <w:rsid w:val="008D4270"/>
    <w:rsid w:val="008D67D0"/>
    <w:rsid w:val="008D71AC"/>
    <w:rsid w:val="009017FB"/>
    <w:rsid w:val="009164B2"/>
    <w:rsid w:val="00921284"/>
    <w:rsid w:val="00935076"/>
    <w:rsid w:val="00942A08"/>
    <w:rsid w:val="00942CA8"/>
    <w:rsid w:val="00982939"/>
    <w:rsid w:val="0098533E"/>
    <w:rsid w:val="00987010"/>
    <w:rsid w:val="00997103"/>
    <w:rsid w:val="0099735B"/>
    <w:rsid w:val="009B1EBE"/>
    <w:rsid w:val="009D52FC"/>
    <w:rsid w:val="00A0569E"/>
    <w:rsid w:val="00A16083"/>
    <w:rsid w:val="00A35B9F"/>
    <w:rsid w:val="00A419CF"/>
    <w:rsid w:val="00A44580"/>
    <w:rsid w:val="00A5249D"/>
    <w:rsid w:val="00A80B98"/>
    <w:rsid w:val="00A875C2"/>
    <w:rsid w:val="00A9174F"/>
    <w:rsid w:val="00AA6E79"/>
    <w:rsid w:val="00AB32A2"/>
    <w:rsid w:val="00AB3C3B"/>
    <w:rsid w:val="00AB40E3"/>
    <w:rsid w:val="00AC1B10"/>
    <w:rsid w:val="00AC51A2"/>
    <w:rsid w:val="00AD45D2"/>
    <w:rsid w:val="00AF02A6"/>
    <w:rsid w:val="00B00674"/>
    <w:rsid w:val="00B06FDB"/>
    <w:rsid w:val="00B11CC2"/>
    <w:rsid w:val="00B346A0"/>
    <w:rsid w:val="00B42DF5"/>
    <w:rsid w:val="00B6719B"/>
    <w:rsid w:val="00B9169E"/>
    <w:rsid w:val="00BD514A"/>
    <w:rsid w:val="00BE0FA2"/>
    <w:rsid w:val="00BE4CFC"/>
    <w:rsid w:val="00BF5A35"/>
    <w:rsid w:val="00C00F60"/>
    <w:rsid w:val="00C1228C"/>
    <w:rsid w:val="00C169B2"/>
    <w:rsid w:val="00C17B79"/>
    <w:rsid w:val="00C22E6A"/>
    <w:rsid w:val="00C313DD"/>
    <w:rsid w:val="00C375A3"/>
    <w:rsid w:val="00C42296"/>
    <w:rsid w:val="00C42707"/>
    <w:rsid w:val="00C433CC"/>
    <w:rsid w:val="00C44E40"/>
    <w:rsid w:val="00C512FB"/>
    <w:rsid w:val="00C63567"/>
    <w:rsid w:val="00C8038A"/>
    <w:rsid w:val="00CA0B52"/>
    <w:rsid w:val="00CD1BE7"/>
    <w:rsid w:val="00CE497B"/>
    <w:rsid w:val="00CF2E16"/>
    <w:rsid w:val="00CF6D4A"/>
    <w:rsid w:val="00D127FE"/>
    <w:rsid w:val="00D21236"/>
    <w:rsid w:val="00D273B1"/>
    <w:rsid w:val="00D45327"/>
    <w:rsid w:val="00D70224"/>
    <w:rsid w:val="00D70299"/>
    <w:rsid w:val="00DA17D4"/>
    <w:rsid w:val="00DA42B5"/>
    <w:rsid w:val="00DC0B12"/>
    <w:rsid w:val="00DD332C"/>
    <w:rsid w:val="00E046A4"/>
    <w:rsid w:val="00E1454B"/>
    <w:rsid w:val="00E33025"/>
    <w:rsid w:val="00E431EC"/>
    <w:rsid w:val="00E5636B"/>
    <w:rsid w:val="00E81C5E"/>
    <w:rsid w:val="00E83ED1"/>
    <w:rsid w:val="00E86533"/>
    <w:rsid w:val="00EC33E6"/>
    <w:rsid w:val="00EE5547"/>
    <w:rsid w:val="00EF1845"/>
    <w:rsid w:val="00F02455"/>
    <w:rsid w:val="00F30769"/>
    <w:rsid w:val="00F602BC"/>
    <w:rsid w:val="00F60837"/>
    <w:rsid w:val="00F65615"/>
    <w:rsid w:val="00F75963"/>
    <w:rsid w:val="00FA5115"/>
    <w:rsid w:val="00FC2122"/>
    <w:rsid w:val="00FC2963"/>
    <w:rsid w:val="00FF0A2B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2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USGS Topographic Vector Dataset For An Area Of Interest</vt:lpstr>
    </vt:vector>
  </TitlesOfParts>
  <Company>Circle-5 GeoServices LLC</Company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USGS Topographic Vector Dataset For An Area Of Interest</dc:title>
  <dc:creator>cbeyerhelm</dc:creator>
  <cp:lastModifiedBy>cbeyerhelm</cp:lastModifiedBy>
  <cp:revision>2</cp:revision>
  <cp:lastPrinted>2018-08-26T22:59:00Z</cp:lastPrinted>
  <dcterms:created xsi:type="dcterms:W3CDTF">2019-07-09T13:35:00Z</dcterms:created>
  <dcterms:modified xsi:type="dcterms:W3CDTF">2019-07-09T13:35:00Z</dcterms:modified>
</cp:coreProperties>
</file>