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D55F" w14:textId="77777777" w:rsidR="00B848F0" w:rsidRDefault="00B848F0" w:rsidP="00B848F0">
      <w:bookmarkStart w:id="0" w:name="_Hlk77795633"/>
      <w:r>
        <w:rPr>
          <w:noProof/>
        </w:rPr>
        <w:drawing>
          <wp:anchor distT="0" distB="0" distL="114300" distR="114300" simplePos="0" relativeHeight="251659264" behindDoc="0" locked="0" layoutInCell="1" allowOverlap="1" wp14:anchorId="05822CF1" wp14:editId="6E02DCD5">
            <wp:simplePos x="0" y="0"/>
            <wp:positionH relativeFrom="margin">
              <wp:align>center</wp:align>
            </wp:positionH>
            <wp:positionV relativeFrom="margin">
              <wp:posOffset>-101600</wp:posOffset>
            </wp:positionV>
            <wp:extent cx="2462530" cy="2277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2530" cy="2277745"/>
                    </a:xfrm>
                    <a:prstGeom prst="rect">
                      <a:avLst/>
                    </a:prstGeom>
                    <a:noFill/>
                  </pic:spPr>
                </pic:pic>
              </a:graphicData>
            </a:graphic>
            <wp14:sizeRelH relativeFrom="page">
              <wp14:pctWidth>0</wp14:pctWidth>
            </wp14:sizeRelH>
            <wp14:sizeRelV relativeFrom="page">
              <wp14:pctHeight>0</wp14:pctHeight>
            </wp14:sizeRelV>
          </wp:anchor>
        </w:drawing>
      </w:r>
    </w:p>
    <w:p w14:paraId="27D097F2" w14:textId="77777777" w:rsidR="00B848F0" w:rsidRDefault="00B848F0" w:rsidP="00B848F0"/>
    <w:p w14:paraId="0861F144" w14:textId="77777777" w:rsidR="00B848F0" w:rsidRDefault="00B848F0" w:rsidP="00B848F0"/>
    <w:p w14:paraId="307162B8" w14:textId="77777777" w:rsidR="00B848F0" w:rsidRDefault="00B848F0" w:rsidP="00B848F0"/>
    <w:p w14:paraId="08E4FC59" w14:textId="77777777" w:rsidR="00B848F0" w:rsidRDefault="00B848F0" w:rsidP="00B848F0"/>
    <w:p w14:paraId="53B18B18" w14:textId="77777777" w:rsidR="00B848F0" w:rsidRDefault="00B848F0" w:rsidP="00B848F0"/>
    <w:p w14:paraId="5D31EA5D" w14:textId="77777777" w:rsidR="00B848F0" w:rsidRDefault="00B848F0" w:rsidP="00B848F0"/>
    <w:p w14:paraId="5EF8D909" w14:textId="77777777" w:rsidR="00B848F0" w:rsidRDefault="00B848F0" w:rsidP="00B848F0">
      <w:pPr>
        <w:rPr>
          <w:rFonts w:ascii="Times New Roman" w:hAnsi="Times New Roman" w:cs="Times New Roman"/>
          <w:sz w:val="36"/>
          <w:szCs w:val="36"/>
        </w:rPr>
      </w:pPr>
    </w:p>
    <w:p w14:paraId="0BAB13A7" w14:textId="77777777" w:rsidR="00B848F0" w:rsidRPr="00414167" w:rsidRDefault="00B848F0" w:rsidP="00B848F0">
      <w:pPr>
        <w:jc w:val="center"/>
        <w:rPr>
          <w:rFonts w:cstheme="minorHAnsi"/>
          <w:b/>
          <w:bCs/>
          <w:sz w:val="52"/>
          <w:szCs w:val="52"/>
        </w:rPr>
      </w:pPr>
      <w:r w:rsidRPr="00414167">
        <w:rPr>
          <w:rFonts w:cstheme="minorHAnsi"/>
          <w:b/>
          <w:bCs/>
          <w:sz w:val="52"/>
          <w:szCs w:val="52"/>
        </w:rPr>
        <w:t xml:space="preserve">Discipline </w:t>
      </w:r>
    </w:p>
    <w:p w14:paraId="3D1D97EE" w14:textId="77777777" w:rsidR="00B848F0" w:rsidRDefault="00B848F0" w:rsidP="00B848F0">
      <w:pPr>
        <w:tabs>
          <w:tab w:val="left" w:pos="1245"/>
          <w:tab w:val="center" w:pos="4513"/>
        </w:tabs>
        <w:rPr>
          <w:rFonts w:cstheme="minorHAnsi"/>
          <w:sz w:val="36"/>
          <w:szCs w:val="36"/>
        </w:rPr>
      </w:pPr>
      <w:r>
        <w:rPr>
          <w:rFonts w:cstheme="minorHAnsi"/>
          <w:sz w:val="36"/>
          <w:szCs w:val="36"/>
        </w:rPr>
        <w:tab/>
      </w:r>
    </w:p>
    <w:p w14:paraId="29D68360" w14:textId="152810F5" w:rsidR="00B848F0" w:rsidRDefault="00B848F0" w:rsidP="00B848F0">
      <w:pPr>
        <w:jc w:val="center"/>
        <w:rPr>
          <w:rFonts w:cstheme="minorHAnsi"/>
          <w:b/>
          <w:bCs/>
          <w:sz w:val="36"/>
          <w:szCs w:val="36"/>
        </w:rPr>
      </w:pPr>
      <w:r w:rsidRPr="00B848F0">
        <w:rPr>
          <w:rFonts w:cstheme="minorHAnsi"/>
          <w:b/>
          <w:bCs/>
          <w:sz w:val="36"/>
          <w:szCs w:val="36"/>
        </w:rPr>
        <w:t>Information on Standard Compliance</w:t>
      </w:r>
    </w:p>
    <w:p w14:paraId="3D1F4E43" w14:textId="77777777" w:rsidR="00B848F0" w:rsidRDefault="00B848F0" w:rsidP="00B848F0">
      <w:pPr>
        <w:jc w:val="center"/>
        <w:rPr>
          <w:rFonts w:ascii="Times New Roman" w:hAnsi="Times New Roman" w:cs="Times New Roman"/>
          <w:b/>
          <w:bCs/>
          <w:sz w:val="36"/>
          <w:szCs w:val="36"/>
        </w:rPr>
      </w:pPr>
    </w:p>
    <w:p w14:paraId="257AC062" w14:textId="77777777" w:rsidR="00B848F0" w:rsidRPr="00414167" w:rsidRDefault="00B848F0" w:rsidP="00B848F0">
      <w:pPr>
        <w:jc w:val="center"/>
        <w:rPr>
          <w:rFonts w:ascii="Times New Roman" w:hAnsi="Times New Roman" w:cs="Times New Roman"/>
          <w:b/>
          <w:bCs/>
          <w:sz w:val="36"/>
          <w:szCs w:val="36"/>
        </w:rPr>
      </w:pPr>
      <w:r w:rsidRPr="00414167">
        <w:rPr>
          <w:rFonts w:ascii="Times New Roman" w:hAnsi="Times New Roman" w:cs="Times New Roman"/>
          <w:b/>
          <w:bCs/>
          <w:sz w:val="36"/>
          <w:szCs w:val="36"/>
        </w:rPr>
        <w:t>CS5</w:t>
      </w:r>
      <w:r>
        <w:rPr>
          <w:rFonts w:ascii="Times New Roman" w:hAnsi="Times New Roman" w:cs="Times New Roman"/>
          <w:b/>
          <w:bCs/>
          <w:sz w:val="36"/>
          <w:szCs w:val="36"/>
        </w:rPr>
        <w:t>002</w:t>
      </w:r>
    </w:p>
    <w:p w14:paraId="71334684" w14:textId="77777777" w:rsidR="00B848F0" w:rsidRDefault="00B848F0" w:rsidP="00B848F0">
      <w:pPr>
        <w:jc w:val="center"/>
        <w:rPr>
          <w:rFonts w:ascii="Times New Roman" w:hAnsi="Times New Roman" w:cs="Times New Roman"/>
          <w:sz w:val="36"/>
          <w:szCs w:val="36"/>
        </w:rPr>
      </w:pPr>
    </w:p>
    <w:p w14:paraId="57252AC4" w14:textId="77777777" w:rsidR="00B848F0" w:rsidRDefault="00B848F0" w:rsidP="00B848F0">
      <w:pPr>
        <w:jc w:val="center"/>
        <w:rPr>
          <w:rFonts w:ascii="Times New Roman" w:hAnsi="Times New Roman" w:cs="Times New Roman"/>
          <w:sz w:val="36"/>
          <w:szCs w:val="36"/>
        </w:rPr>
      </w:pPr>
    </w:p>
    <w:p w14:paraId="47E681EF" w14:textId="0C10D533" w:rsidR="00B848F0" w:rsidRDefault="00B848F0" w:rsidP="00B848F0">
      <w:pPr>
        <w:jc w:val="center"/>
        <w:rPr>
          <w:rFonts w:cstheme="minorHAnsi"/>
        </w:rPr>
      </w:pPr>
      <w:r w:rsidRPr="00414167">
        <w:rPr>
          <w:rFonts w:cstheme="minorHAnsi"/>
          <w:sz w:val="36"/>
          <w:szCs w:val="36"/>
        </w:rPr>
        <w:t>A</w:t>
      </w:r>
      <w:r w:rsidR="00B352E6">
        <w:rPr>
          <w:rFonts w:cstheme="minorHAnsi"/>
          <w:sz w:val="36"/>
          <w:szCs w:val="36"/>
        </w:rPr>
        <w:t>ctivity</w:t>
      </w:r>
      <w:r>
        <w:rPr>
          <w:rFonts w:cstheme="minorHAnsi"/>
          <w:sz w:val="36"/>
          <w:szCs w:val="36"/>
        </w:rPr>
        <w:t>-</w:t>
      </w:r>
      <w:r w:rsidR="00B352E6">
        <w:rPr>
          <w:rFonts w:cstheme="minorHAnsi"/>
          <w:sz w:val="36"/>
          <w:szCs w:val="36"/>
        </w:rPr>
        <w:t>10</w:t>
      </w:r>
    </w:p>
    <w:p w14:paraId="71139AC4" w14:textId="77777777" w:rsidR="00B848F0" w:rsidRPr="00414167" w:rsidRDefault="00B848F0" w:rsidP="00B848F0">
      <w:pPr>
        <w:jc w:val="center"/>
        <w:rPr>
          <w:rFonts w:cstheme="minorHAnsi"/>
        </w:rPr>
      </w:pPr>
    </w:p>
    <w:p w14:paraId="18255574" w14:textId="77777777" w:rsidR="00B848F0" w:rsidRPr="00414167" w:rsidRDefault="00B848F0" w:rsidP="00B848F0">
      <w:pPr>
        <w:rPr>
          <w:rFonts w:cstheme="minorHAnsi"/>
          <w:sz w:val="36"/>
          <w:szCs w:val="36"/>
        </w:rPr>
      </w:pPr>
    </w:p>
    <w:p w14:paraId="6B4C0D8B" w14:textId="77777777" w:rsidR="00B848F0" w:rsidRDefault="00B848F0" w:rsidP="00B848F0">
      <w:pPr>
        <w:rPr>
          <w:rFonts w:ascii="Times New Roman" w:hAnsi="Times New Roman" w:cs="Times New Roman"/>
          <w:sz w:val="36"/>
          <w:szCs w:val="36"/>
        </w:rPr>
      </w:pPr>
    </w:p>
    <w:p w14:paraId="5FB0757F" w14:textId="77777777" w:rsidR="00B848F0" w:rsidRDefault="00B848F0" w:rsidP="00B848F0">
      <w:pPr>
        <w:rPr>
          <w:rFonts w:ascii="Times New Roman" w:hAnsi="Times New Roman" w:cs="Times New Roman"/>
          <w:sz w:val="36"/>
          <w:szCs w:val="36"/>
        </w:rPr>
      </w:pPr>
    </w:p>
    <w:p w14:paraId="0F98677A" w14:textId="77777777" w:rsidR="00B848F0" w:rsidRDefault="00B848F0" w:rsidP="00B848F0">
      <w:pPr>
        <w:rPr>
          <w:rFonts w:ascii="Times New Roman" w:hAnsi="Times New Roman" w:cs="Times New Roman"/>
          <w:sz w:val="36"/>
          <w:szCs w:val="36"/>
        </w:rPr>
      </w:pPr>
    </w:p>
    <w:p w14:paraId="64C65ABB" w14:textId="77777777" w:rsidR="00B848F0" w:rsidRDefault="00B848F0" w:rsidP="00B848F0">
      <w:pPr>
        <w:rPr>
          <w:rFonts w:ascii="Times New Roman" w:hAnsi="Times New Roman" w:cs="Times New Roman"/>
          <w:sz w:val="36"/>
          <w:szCs w:val="36"/>
        </w:rPr>
      </w:pPr>
    </w:p>
    <w:p w14:paraId="22E87996" w14:textId="77777777" w:rsidR="00B848F0" w:rsidRDefault="00B848F0" w:rsidP="00B848F0">
      <w:pPr>
        <w:rPr>
          <w:rFonts w:ascii="Times New Roman" w:hAnsi="Times New Roman" w:cs="Times New Roman"/>
          <w:sz w:val="36"/>
          <w:szCs w:val="36"/>
        </w:rPr>
      </w:pPr>
    </w:p>
    <w:p w14:paraId="021B8368" w14:textId="77777777" w:rsidR="00B848F0" w:rsidRDefault="00B848F0" w:rsidP="00B848F0">
      <w:pPr>
        <w:rPr>
          <w:rFonts w:cstheme="minorHAnsi"/>
          <w:b/>
          <w:bCs/>
          <w:sz w:val="32"/>
          <w:szCs w:val="32"/>
        </w:rPr>
        <w:sectPr w:rsidR="00B848F0">
          <w:footerReference w:type="default" r:id="rId8"/>
          <w:pgSz w:w="11906" w:h="16838"/>
          <w:pgMar w:top="1440" w:right="1440" w:bottom="1440" w:left="1440" w:header="708" w:footer="708" w:gutter="0"/>
          <w:cols w:space="708"/>
          <w:docGrid w:linePitch="360"/>
        </w:sectPr>
      </w:pPr>
      <w:r w:rsidRPr="00414167">
        <w:rPr>
          <w:rFonts w:cstheme="minorHAnsi"/>
          <w:b/>
          <w:bCs/>
          <w:sz w:val="32"/>
          <w:szCs w:val="32"/>
        </w:rPr>
        <w:t>Sheikh Muhammed Tadeeb (AU19B101</w:t>
      </w:r>
      <w:bookmarkEnd w:id="0"/>
      <w:r>
        <w:rPr>
          <w:rFonts w:cstheme="minorHAnsi"/>
          <w:b/>
          <w:bCs/>
          <w:sz w:val="32"/>
          <w:szCs w:val="32"/>
        </w:rPr>
        <w:t>4</w:t>
      </w:r>
      <w:r>
        <w:rPr>
          <w:rFonts w:cstheme="minorHAnsi"/>
          <w:b/>
          <w:bCs/>
          <w:sz w:val="32"/>
          <w:szCs w:val="32"/>
        </w:rPr>
        <w:t>)</w:t>
      </w:r>
    </w:p>
    <w:p w14:paraId="0859970F" w14:textId="5290E578" w:rsidR="00332F37" w:rsidRPr="000E2C25" w:rsidRDefault="00B848F0" w:rsidP="00B848F0">
      <w:pPr>
        <w:pStyle w:val="ListParagraph"/>
        <w:numPr>
          <w:ilvl w:val="0"/>
          <w:numId w:val="1"/>
        </w:numPr>
        <w:jc w:val="both"/>
        <w:rPr>
          <w:rFonts w:ascii="Times New Roman" w:hAnsi="Times New Roman" w:cs="Times New Roman"/>
          <w:b/>
          <w:bCs/>
          <w:sz w:val="32"/>
          <w:szCs w:val="32"/>
        </w:rPr>
      </w:pPr>
      <w:r w:rsidRPr="000E2C25">
        <w:rPr>
          <w:rFonts w:ascii="Times New Roman" w:hAnsi="Times New Roman" w:cs="Times New Roman"/>
          <w:b/>
          <w:bCs/>
          <w:sz w:val="32"/>
          <w:szCs w:val="32"/>
        </w:rPr>
        <w:lastRenderedPageBreak/>
        <w:t>Problem Statement:</w:t>
      </w:r>
    </w:p>
    <w:p w14:paraId="1BC01007" w14:textId="32339172" w:rsidR="00B848F0" w:rsidRDefault="00B848F0" w:rsidP="00B848F0">
      <w:pPr>
        <w:pStyle w:val="ListParagraph"/>
        <w:ind w:left="360"/>
        <w:jc w:val="both"/>
        <w:rPr>
          <w:rFonts w:ascii="Times New Roman" w:hAnsi="Times New Roman" w:cs="Times New Roman"/>
          <w:b/>
          <w:bCs/>
          <w:sz w:val="24"/>
          <w:szCs w:val="24"/>
        </w:rPr>
      </w:pPr>
    </w:p>
    <w:p w14:paraId="732EA21D" w14:textId="77777777" w:rsidR="00B848F0" w:rsidRPr="00B848F0" w:rsidRDefault="00B848F0" w:rsidP="00B848F0">
      <w:pPr>
        <w:pStyle w:val="ListParagraph"/>
        <w:ind w:left="360"/>
        <w:jc w:val="both"/>
        <w:rPr>
          <w:rFonts w:ascii="Times New Roman" w:hAnsi="Times New Roman" w:cs="Times New Roman"/>
          <w:color w:val="2D3B45"/>
          <w:sz w:val="24"/>
          <w:szCs w:val="24"/>
          <w:shd w:val="clear" w:color="auto" w:fill="FFFFFF"/>
        </w:rPr>
      </w:pPr>
      <w:r w:rsidRPr="00B848F0">
        <w:rPr>
          <w:rFonts w:ascii="Times New Roman" w:hAnsi="Times New Roman" w:cs="Times New Roman"/>
          <w:color w:val="2D3B45"/>
          <w:sz w:val="24"/>
          <w:szCs w:val="24"/>
          <w:shd w:val="clear" w:color="auto" w:fill="FFFFFF"/>
        </w:rPr>
        <w:t>Give information about Compliance standard like</w:t>
      </w:r>
    </w:p>
    <w:p w14:paraId="3EA64F71" w14:textId="77777777" w:rsidR="00B848F0" w:rsidRPr="00B848F0" w:rsidRDefault="00B848F0" w:rsidP="00B848F0">
      <w:pPr>
        <w:pStyle w:val="ListParagraph"/>
        <w:ind w:left="360"/>
        <w:rPr>
          <w:rFonts w:ascii="Lato" w:hAnsi="Lato"/>
          <w:color w:val="2D3B45"/>
          <w:shd w:val="clear" w:color="auto" w:fill="FFFFFF"/>
        </w:rPr>
      </w:pPr>
    </w:p>
    <w:p w14:paraId="0D49E577" w14:textId="701019DA" w:rsidR="00B848F0" w:rsidRPr="00B848F0" w:rsidRDefault="00B848F0" w:rsidP="00B848F0">
      <w:pPr>
        <w:pStyle w:val="ListParagraph"/>
        <w:numPr>
          <w:ilvl w:val="0"/>
          <w:numId w:val="3"/>
        </w:numPr>
        <w:rPr>
          <w:rFonts w:ascii="Times New Roman" w:hAnsi="Times New Roman" w:cs="Times New Roman"/>
          <w:color w:val="2D3B45"/>
          <w:sz w:val="24"/>
          <w:szCs w:val="24"/>
          <w:shd w:val="clear" w:color="auto" w:fill="FFFFFF"/>
        </w:rPr>
      </w:pPr>
      <w:r w:rsidRPr="00B848F0">
        <w:rPr>
          <w:rFonts w:ascii="Times New Roman" w:hAnsi="Times New Roman" w:cs="Times New Roman"/>
          <w:color w:val="2D3B45"/>
          <w:sz w:val="24"/>
          <w:szCs w:val="24"/>
          <w:shd w:val="clear" w:color="auto" w:fill="FFFFFF"/>
        </w:rPr>
        <w:t>HIPA</w:t>
      </w:r>
    </w:p>
    <w:p w14:paraId="4279721E" w14:textId="091C6ED9" w:rsidR="00B848F0" w:rsidRPr="00B848F0" w:rsidRDefault="00B848F0" w:rsidP="00B848F0">
      <w:pPr>
        <w:pStyle w:val="ListParagraph"/>
        <w:numPr>
          <w:ilvl w:val="0"/>
          <w:numId w:val="3"/>
        </w:numPr>
        <w:rPr>
          <w:rFonts w:ascii="Times New Roman" w:hAnsi="Times New Roman" w:cs="Times New Roman"/>
          <w:color w:val="2D3B45"/>
          <w:sz w:val="24"/>
          <w:szCs w:val="24"/>
          <w:shd w:val="clear" w:color="auto" w:fill="FFFFFF"/>
        </w:rPr>
      </w:pPr>
      <w:r w:rsidRPr="00B848F0">
        <w:rPr>
          <w:rFonts w:ascii="Times New Roman" w:hAnsi="Times New Roman" w:cs="Times New Roman"/>
          <w:color w:val="2D3B45"/>
          <w:sz w:val="24"/>
          <w:szCs w:val="24"/>
          <w:shd w:val="clear" w:color="auto" w:fill="FFFFFF"/>
        </w:rPr>
        <w:t>PCI-DS</w:t>
      </w:r>
      <w:r w:rsidRPr="00B848F0">
        <w:rPr>
          <w:rFonts w:ascii="Times New Roman" w:hAnsi="Times New Roman" w:cs="Times New Roman"/>
          <w:color w:val="2D3B45"/>
          <w:sz w:val="24"/>
          <w:szCs w:val="24"/>
          <w:shd w:val="clear" w:color="auto" w:fill="FFFFFF"/>
        </w:rPr>
        <w:t>S</w:t>
      </w:r>
    </w:p>
    <w:p w14:paraId="772AF99D" w14:textId="034DBCCD" w:rsidR="00B848F0" w:rsidRPr="00B848F0" w:rsidRDefault="00B848F0" w:rsidP="00B848F0">
      <w:pPr>
        <w:pStyle w:val="ListParagraph"/>
        <w:numPr>
          <w:ilvl w:val="0"/>
          <w:numId w:val="3"/>
        </w:numPr>
        <w:rPr>
          <w:rFonts w:ascii="Times New Roman" w:hAnsi="Times New Roman" w:cs="Times New Roman"/>
          <w:color w:val="2D3B45"/>
          <w:sz w:val="24"/>
          <w:szCs w:val="24"/>
          <w:shd w:val="clear" w:color="auto" w:fill="FFFFFF"/>
        </w:rPr>
      </w:pPr>
      <w:r w:rsidRPr="00B848F0">
        <w:rPr>
          <w:rFonts w:ascii="Times New Roman" w:hAnsi="Times New Roman" w:cs="Times New Roman"/>
          <w:color w:val="2D3B45"/>
          <w:sz w:val="24"/>
          <w:szCs w:val="24"/>
          <w:shd w:val="clear" w:color="auto" w:fill="FFFFFF"/>
        </w:rPr>
        <w:t>FIPS</w:t>
      </w:r>
    </w:p>
    <w:p w14:paraId="253226EC" w14:textId="77777777" w:rsidR="00B848F0" w:rsidRPr="00B848F0" w:rsidRDefault="00B848F0" w:rsidP="00B848F0">
      <w:pPr>
        <w:pStyle w:val="ListParagraph"/>
        <w:numPr>
          <w:ilvl w:val="0"/>
          <w:numId w:val="3"/>
        </w:numPr>
        <w:rPr>
          <w:rFonts w:ascii="Times New Roman" w:hAnsi="Times New Roman" w:cs="Times New Roman"/>
          <w:color w:val="2D3B45"/>
          <w:sz w:val="24"/>
          <w:szCs w:val="24"/>
          <w:shd w:val="clear" w:color="auto" w:fill="FFFFFF"/>
        </w:rPr>
      </w:pPr>
      <w:r w:rsidRPr="00B848F0">
        <w:rPr>
          <w:rFonts w:ascii="Times New Roman" w:hAnsi="Times New Roman" w:cs="Times New Roman"/>
          <w:color w:val="2D3B45"/>
          <w:sz w:val="24"/>
          <w:szCs w:val="24"/>
          <w:shd w:val="clear" w:color="auto" w:fill="FFFFFF"/>
        </w:rPr>
        <w:t>SOC1,2,3</w:t>
      </w:r>
      <w:r w:rsidRPr="00B848F0">
        <w:rPr>
          <w:rFonts w:ascii="Times New Roman" w:hAnsi="Times New Roman" w:cs="Times New Roman"/>
          <w:color w:val="2D3B45"/>
          <w:sz w:val="24"/>
          <w:szCs w:val="24"/>
        </w:rPr>
        <w:br/>
      </w:r>
    </w:p>
    <w:p w14:paraId="7F5F7F07" w14:textId="331EF562" w:rsidR="00B848F0" w:rsidRDefault="00B848F0" w:rsidP="00B848F0">
      <w:pPr>
        <w:ind w:left="36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 </w:t>
      </w:r>
      <w:r w:rsidRPr="00B848F0">
        <w:rPr>
          <w:rFonts w:ascii="Times New Roman" w:hAnsi="Times New Roman" w:cs="Times New Roman"/>
          <w:color w:val="2D3B45"/>
          <w:sz w:val="24"/>
          <w:szCs w:val="24"/>
          <w:shd w:val="clear" w:color="auto" w:fill="FFFFFF"/>
        </w:rPr>
        <w:t>and its use industry or domain.</w:t>
      </w:r>
    </w:p>
    <w:p w14:paraId="45B87550" w14:textId="50794731" w:rsidR="00B848F0" w:rsidRDefault="00B848F0" w:rsidP="00B848F0">
      <w:pPr>
        <w:ind w:left="360"/>
        <w:rPr>
          <w:rFonts w:ascii="Times New Roman" w:hAnsi="Times New Roman" w:cs="Times New Roman"/>
          <w:color w:val="2D3B45"/>
          <w:sz w:val="24"/>
          <w:szCs w:val="24"/>
          <w:shd w:val="clear" w:color="auto" w:fill="FFFFFF"/>
        </w:rPr>
      </w:pPr>
    </w:p>
    <w:p w14:paraId="6A84FCC0" w14:textId="68632B3A" w:rsidR="00B848F0" w:rsidRPr="000E2C25" w:rsidRDefault="00B848F0" w:rsidP="00B848F0">
      <w:pPr>
        <w:pStyle w:val="ListParagraph"/>
        <w:numPr>
          <w:ilvl w:val="0"/>
          <w:numId w:val="1"/>
        </w:numPr>
        <w:rPr>
          <w:rFonts w:ascii="Times New Roman" w:hAnsi="Times New Roman" w:cs="Times New Roman"/>
          <w:b/>
          <w:bCs/>
          <w:color w:val="2D3B45"/>
          <w:sz w:val="32"/>
          <w:szCs w:val="32"/>
          <w:shd w:val="clear" w:color="auto" w:fill="FFFFFF"/>
        </w:rPr>
      </w:pPr>
      <w:r w:rsidRPr="000E2C25">
        <w:rPr>
          <w:rFonts w:ascii="Times New Roman" w:hAnsi="Times New Roman" w:cs="Times New Roman"/>
          <w:b/>
          <w:bCs/>
          <w:color w:val="2D3B45"/>
          <w:sz w:val="32"/>
          <w:szCs w:val="32"/>
          <w:shd w:val="clear" w:color="auto" w:fill="FFFFFF"/>
        </w:rPr>
        <w:t>Solution:</w:t>
      </w:r>
    </w:p>
    <w:p w14:paraId="3F7E470F" w14:textId="6A78CF02" w:rsidR="00B848F0" w:rsidRDefault="00B848F0" w:rsidP="00B848F0">
      <w:pPr>
        <w:pStyle w:val="ListParagraph"/>
        <w:ind w:left="360"/>
        <w:rPr>
          <w:rFonts w:ascii="Times New Roman" w:hAnsi="Times New Roman" w:cs="Times New Roman"/>
          <w:b/>
          <w:bCs/>
          <w:color w:val="2D3B45"/>
          <w:sz w:val="28"/>
          <w:szCs w:val="28"/>
          <w:shd w:val="clear" w:color="auto" w:fill="FFFFFF"/>
        </w:rPr>
      </w:pPr>
    </w:p>
    <w:p w14:paraId="37AA6149" w14:textId="705ABE68" w:rsidR="00B848F0" w:rsidRPr="000E2C25" w:rsidRDefault="00B848F0" w:rsidP="00B848F0">
      <w:pPr>
        <w:pStyle w:val="ListParagraph"/>
        <w:numPr>
          <w:ilvl w:val="0"/>
          <w:numId w:val="4"/>
        </w:numPr>
        <w:rPr>
          <w:rFonts w:ascii="Times New Roman" w:hAnsi="Times New Roman" w:cs="Times New Roman"/>
          <w:b/>
          <w:bCs/>
          <w:color w:val="2D3B45"/>
          <w:sz w:val="28"/>
          <w:szCs w:val="28"/>
          <w:shd w:val="clear" w:color="auto" w:fill="FFFFFF"/>
        </w:rPr>
      </w:pPr>
      <w:r w:rsidRPr="000E2C25">
        <w:rPr>
          <w:rFonts w:ascii="Times New Roman" w:hAnsi="Times New Roman" w:cs="Times New Roman"/>
          <w:b/>
          <w:bCs/>
          <w:color w:val="2D3B45"/>
          <w:sz w:val="28"/>
          <w:szCs w:val="28"/>
          <w:shd w:val="clear" w:color="auto" w:fill="FFFFFF"/>
        </w:rPr>
        <w:t>HIPA:</w:t>
      </w:r>
    </w:p>
    <w:p w14:paraId="64479D68" w14:textId="77777777" w:rsidR="0057001A" w:rsidRDefault="0057001A" w:rsidP="0057001A">
      <w:pPr>
        <w:pStyle w:val="ListParagraph"/>
        <w:rPr>
          <w:rFonts w:ascii="Times New Roman" w:hAnsi="Times New Roman" w:cs="Times New Roman"/>
          <w:b/>
          <w:bCs/>
          <w:color w:val="2D3B45"/>
          <w:sz w:val="24"/>
          <w:szCs w:val="24"/>
          <w:shd w:val="clear" w:color="auto" w:fill="FFFFFF"/>
        </w:rPr>
      </w:pPr>
    </w:p>
    <w:p w14:paraId="27837787" w14:textId="60DFF29F" w:rsidR="00B848F0" w:rsidRDefault="00B848F0" w:rsidP="00B848F0">
      <w:pPr>
        <w:pStyle w:val="ListParagraph"/>
        <w:rPr>
          <w:rFonts w:ascii="Times New Roman" w:hAnsi="Times New Roman" w:cs="Times New Roman"/>
          <w:b/>
          <w:bCs/>
          <w:color w:val="2D3B45"/>
          <w:sz w:val="24"/>
          <w:szCs w:val="24"/>
          <w:shd w:val="clear" w:color="auto" w:fill="FFFFFF"/>
        </w:rPr>
      </w:pPr>
    </w:p>
    <w:p w14:paraId="0A6BB80C" w14:textId="762A74BF" w:rsidR="0057001A" w:rsidRPr="0057001A" w:rsidRDefault="0057001A" w:rsidP="0057001A">
      <w:pPr>
        <w:pStyle w:val="ListParagraph"/>
        <w:numPr>
          <w:ilvl w:val="0"/>
          <w:numId w:val="5"/>
        </w:numPr>
        <w:rPr>
          <w:rFonts w:ascii="Times New Roman" w:hAnsi="Times New Roman" w:cs="Times New Roman"/>
          <w:b/>
          <w:bCs/>
          <w:color w:val="2D3B45"/>
          <w:sz w:val="24"/>
          <w:szCs w:val="24"/>
          <w:shd w:val="clear" w:color="auto" w:fill="FFFFFF"/>
        </w:rPr>
      </w:pPr>
      <w:r w:rsidRPr="0057001A">
        <w:rPr>
          <w:rFonts w:ascii="Times New Roman" w:hAnsi="Times New Roman" w:cs="Times New Roman"/>
          <w:b/>
          <w:bCs/>
          <w:color w:val="2D3B45"/>
          <w:sz w:val="24"/>
          <w:szCs w:val="24"/>
          <w:shd w:val="clear" w:color="auto" w:fill="FFFFFF"/>
        </w:rPr>
        <w:t>Brief:</w:t>
      </w:r>
    </w:p>
    <w:p w14:paraId="55CDB3A1" w14:textId="77777777" w:rsidR="0057001A" w:rsidRDefault="0057001A" w:rsidP="0057001A">
      <w:pPr>
        <w:pStyle w:val="ListParagraph"/>
        <w:ind w:left="1069"/>
        <w:rPr>
          <w:rFonts w:ascii="Times New Roman" w:hAnsi="Times New Roman" w:cs="Times New Roman"/>
          <w:b/>
          <w:bCs/>
          <w:color w:val="2D3B45"/>
          <w:sz w:val="24"/>
          <w:szCs w:val="24"/>
          <w:shd w:val="clear" w:color="auto" w:fill="FFFFFF"/>
        </w:rPr>
      </w:pPr>
    </w:p>
    <w:p w14:paraId="37FA3F6E" w14:textId="2A6E81EA" w:rsidR="00B848F0" w:rsidRDefault="00B848F0" w:rsidP="0057001A">
      <w:pPr>
        <w:pStyle w:val="ListParagraph"/>
        <w:spacing w:line="360" w:lineRule="auto"/>
        <w:ind w:left="927"/>
        <w:jc w:val="both"/>
        <w:rPr>
          <w:rFonts w:ascii="Times New Roman" w:hAnsi="Times New Roman" w:cs="Times New Roman"/>
          <w:color w:val="2D3B45"/>
          <w:sz w:val="24"/>
          <w:szCs w:val="24"/>
          <w:shd w:val="clear" w:color="auto" w:fill="FFFFFF"/>
        </w:rPr>
      </w:pPr>
      <w:r w:rsidRPr="00B848F0">
        <w:rPr>
          <w:rFonts w:ascii="Times New Roman" w:hAnsi="Times New Roman" w:cs="Times New Roman"/>
          <w:color w:val="2D3B45"/>
          <w:sz w:val="24"/>
          <w:szCs w:val="24"/>
          <w:shd w:val="clear" w:color="auto" w:fill="FFFFFF"/>
        </w:rPr>
        <w:t>HIPAA stands for ‘Health Insurance Portability and Accountability Act’. It is</w:t>
      </w:r>
      <w:r>
        <w:rPr>
          <w:rFonts w:ascii="Times New Roman" w:hAnsi="Times New Roman" w:cs="Times New Roman"/>
          <w:color w:val="2D3B45"/>
          <w:sz w:val="24"/>
          <w:szCs w:val="24"/>
          <w:shd w:val="clear" w:color="auto" w:fill="FFFFFF"/>
        </w:rPr>
        <w:t xml:space="preserve"> </w:t>
      </w:r>
      <w:r w:rsidRPr="00B848F0">
        <w:rPr>
          <w:rFonts w:ascii="Times New Roman" w:hAnsi="Times New Roman" w:cs="Times New Roman"/>
          <w:color w:val="2D3B45"/>
          <w:sz w:val="24"/>
          <w:szCs w:val="24"/>
          <w:shd w:val="clear" w:color="auto" w:fill="FFFFFF"/>
        </w:rPr>
        <w:t>focused on protection of privacy of individually identifiable health information and</w:t>
      </w:r>
      <w:r>
        <w:rPr>
          <w:rFonts w:ascii="Times New Roman" w:hAnsi="Times New Roman" w:cs="Times New Roman"/>
          <w:color w:val="2D3B45"/>
          <w:sz w:val="24"/>
          <w:szCs w:val="24"/>
          <w:shd w:val="clear" w:color="auto" w:fill="FFFFFF"/>
        </w:rPr>
        <w:t xml:space="preserve"> </w:t>
      </w:r>
      <w:r w:rsidRPr="00B848F0">
        <w:rPr>
          <w:rFonts w:ascii="Times New Roman" w:hAnsi="Times New Roman" w:cs="Times New Roman"/>
          <w:color w:val="2D3B45"/>
          <w:sz w:val="24"/>
          <w:szCs w:val="24"/>
          <w:shd w:val="clear" w:color="auto" w:fill="FFFFFF"/>
        </w:rPr>
        <w:t>gives patients an array of rights with respect to that information. It is applicable on</w:t>
      </w:r>
      <w:r>
        <w:rPr>
          <w:rFonts w:ascii="Times New Roman" w:hAnsi="Times New Roman" w:cs="Times New Roman"/>
          <w:color w:val="2D3B45"/>
          <w:sz w:val="24"/>
          <w:szCs w:val="24"/>
          <w:shd w:val="clear" w:color="auto" w:fill="FFFFFF"/>
        </w:rPr>
        <w:t xml:space="preserve"> </w:t>
      </w:r>
      <w:r w:rsidRPr="00B848F0">
        <w:rPr>
          <w:rFonts w:ascii="Times New Roman" w:hAnsi="Times New Roman" w:cs="Times New Roman"/>
          <w:color w:val="2D3B45"/>
          <w:sz w:val="24"/>
          <w:szCs w:val="24"/>
          <w:shd w:val="clear" w:color="auto" w:fill="FFFFFF"/>
        </w:rPr>
        <w:t>Covered Entities (CE) and Business Associates (BA) which are generating,</w:t>
      </w:r>
      <w:r>
        <w:rPr>
          <w:rFonts w:ascii="Times New Roman" w:hAnsi="Times New Roman" w:cs="Times New Roman"/>
          <w:color w:val="2D3B45"/>
          <w:sz w:val="24"/>
          <w:szCs w:val="24"/>
          <w:shd w:val="clear" w:color="auto" w:fill="FFFFFF"/>
        </w:rPr>
        <w:t xml:space="preserve"> </w:t>
      </w:r>
      <w:r w:rsidRPr="00B848F0">
        <w:rPr>
          <w:rFonts w:ascii="Times New Roman" w:hAnsi="Times New Roman" w:cs="Times New Roman"/>
          <w:color w:val="2D3B45"/>
          <w:sz w:val="24"/>
          <w:szCs w:val="24"/>
          <w:shd w:val="clear" w:color="auto" w:fill="FFFFFF"/>
        </w:rPr>
        <w:t>accessing, processing and transmitting PHI. HIPAA is a legal requirement,</w:t>
      </w:r>
      <w:r>
        <w:rPr>
          <w:rFonts w:ascii="Times New Roman" w:hAnsi="Times New Roman" w:cs="Times New Roman"/>
          <w:color w:val="2D3B45"/>
          <w:sz w:val="24"/>
          <w:szCs w:val="24"/>
          <w:shd w:val="clear" w:color="auto" w:fill="FFFFFF"/>
        </w:rPr>
        <w:t xml:space="preserve"> </w:t>
      </w:r>
      <w:r w:rsidRPr="00B848F0">
        <w:rPr>
          <w:rFonts w:ascii="Times New Roman" w:hAnsi="Times New Roman" w:cs="Times New Roman"/>
          <w:color w:val="2D3B45"/>
          <w:sz w:val="24"/>
          <w:szCs w:val="24"/>
          <w:shd w:val="clear" w:color="auto" w:fill="FFFFFF"/>
        </w:rPr>
        <w:t>governed by the US government.</w:t>
      </w:r>
    </w:p>
    <w:p w14:paraId="6C7AAD65" w14:textId="395AEF28" w:rsidR="0057001A" w:rsidRDefault="0057001A" w:rsidP="0057001A">
      <w:pPr>
        <w:pStyle w:val="ListParagraph"/>
        <w:spacing w:line="360" w:lineRule="auto"/>
        <w:ind w:left="927"/>
        <w:jc w:val="both"/>
        <w:rPr>
          <w:rFonts w:ascii="Times New Roman" w:hAnsi="Times New Roman" w:cs="Times New Roman"/>
          <w:color w:val="2D3B45"/>
          <w:sz w:val="24"/>
          <w:szCs w:val="24"/>
          <w:shd w:val="clear" w:color="auto" w:fill="FFFFFF"/>
        </w:rPr>
      </w:pPr>
    </w:p>
    <w:p w14:paraId="60AD20BE" w14:textId="09087C75" w:rsidR="0057001A" w:rsidRPr="0057001A" w:rsidRDefault="0057001A" w:rsidP="0057001A">
      <w:pPr>
        <w:pStyle w:val="ListParagraph"/>
        <w:numPr>
          <w:ilvl w:val="0"/>
          <w:numId w:val="5"/>
        </w:numPr>
        <w:spacing w:line="360" w:lineRule="auto"/>
        <w:jc w:val="both"/>
        <w:rPr>
          <w:rFonts w:ascii="Times New Roman" w:hAnsi="Times New Roman" w:cs="Times New Roman"/>
          <w:b/>
          <w:bCs/>
          <w:color w:val="2D3B45"/>
          <w:sz w:val="24"/>
          <w:szCs w:val="24"/>
          <w:shd w:val="clear" w:color="auto" w:fill="FFFFFF"/>
        </w:rPr>
      </w:pPr>
      <w:r w:rsidRPr="0057001A">
        <w:rPr>
          <w:rFonts w:ascii="Times New Roman" w:hAnsi="Times New Roman" w:cs="Times New Roman"/>
          <w:b/>
          <w:bCs/>
          <w:color w:val="2D3B45"/>
          <w:sz w:val="24"/>
          <w:szCs w:val="24"/>
          <w:shd w:val="clear" w:color="auto" w:fill="FFFFFF"/>
        </w:rPr>
        <w:t>Uses:</w:t>
      </w:r>
    </w:p>
    <w:p w14:paraId="7F8E90D6" w14:textId="77777777" w:rsidR="0057001A" w:rsidRPr="0057001A" w:rsidRDefault="0057001A" w:rsidP="0057001A">
      <w:pPr>
        <w:shd w:val="clear" w:color="auto" w:fill="FFFFFF"/>
        <w:spacing w:after="100" w:afterAutospacing="1" w:line="360" w:lineRule="auto"/>
        <w:ind w:left="927"/>
        <w:jc w:val="both"/>
        <w:rPr>
          <w:rFonts w:ascii="Times New Roman" w:eastAsia="Times New Roman" w:hAnsi="Times New Roman" w:cs="Times New Roman"/>
          <w:color w:val="000000"/>
          <w:sz w:val="24"/>
          <w:szCs w:val="24"/>
          <w:lang w:eastAsia="en-IN"/>
        </w:rPr>
      </w:pPr>
      <w:r w:rsidRPr="0057001A">
        <w:rPr>
          <w:rFonts w:ascii="Times New Roman" w:eastAsia="Times New Roman" w:hAnsi="Times New Roman" w:cs="Times New Roman"/>
          <w:color w:val="000000"/>
          <w:sz w:val="24"/>
          <w:szCs w:val="24"/>
          <w:lang w:eastAsia="en-IN"/>
        </w:rPr>
        <w:t>A covered entity is permitted, but not required, to use and disclose protected health information, without an individual’s authorization, for the following purposes or situations:</w:t>
      </w:r>
    </w:p>
    <w:p w14:paraId="5F4CD139" w14:textId="21035F09" w:rsidR="0057001A" w:rsidRDefault="0057001A" w:rsidP="0057001A">
      <w:pPr>
        <w:pStyle w:val="ListParagraph"/>
        <w:numPr>
          <w:ilvl w:val="0"/>
          <w:numId w:val="7"/>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en-IN"/>
        </w:rPr>
      </w:pPr>
      <w:r w:rsidRPr="0057001A">
        <w:rPr>
          <w:rFonts w:ascii="Times New Roman" w:eastAsia="Times New Roman" w:hAnsi="Times New Roman" w:cs="Times New Roman"/>
          <w:color w:val="000000"/>
          <w:sz w:val="24"/>
          <w:szCs w:val="24"/>
          <w:lang w:eastAsia="en-IN"/>
        </w:rPr>
        <w:t>Disclosure to the individual (if the information is required for access or accounting of disclosures, the entity MUST disclose to the individual)</w:t>
      </w:r>
      <w:r w:rsidRPr="0057001A">
        <w:rPr>
          <w:rFonts w:ascii="Times New Roman" w:eastAsia="Times New Roman" w:hAnsi="Times New Roman" w:cs="Times New Roman"/>
          <w:color w:val="000000"/>
          <w:sz w:val="24"/>
          <w:szCs w:val="24"/>
          <w:lang w:eastAsia="en-IN"/>
        </w:rPr>
        <w:t>.</w:t>
      </w:r>
    </w:p>
    <w:p w14:paraId="1961A241" w14:textId="77777777" w:rsidR="0057001A" w:rsidRDefault="0057001A" w:rsidP="0057001A">
      <w:pPr>
        <w:pStyle w:val="ListParagraph"/>
        <w:shd w:val="clear" w:color="auto" w:fill="FFFFFF"/>
        <w:spacing w:before="100" w:beforeAutospacing="1" w:after="0" w:line="360" w:lineRule="auto"/>
        <w:ind w:left="2007"/>
        <w:jc w:val="both"/>
        <w:rPr>
          <w:rFonts w:ascii="Times New Roman" w:eastAsia="Times New Roman" w:hAnsi="Times New Roman" w:cs="Times New Roman"/>
          <w:color w:val="000000"/>
          <w:sz w:val="24"/>
          <w:szCs w:val="24"/>
          <w:lang w:eastAsia="en-IN"/>
        </w:rPr>
      </w:pPr>
    </w:p>
    <w:p w14:paraId="51B80B9C" w14:textId="77777777" w:rsidR="0057001A" w:rsidRDefault="0057001A" w:rsidP="0057001A">
      <w:pPr>
        <w:pStyle w:val="ListParagraph"/>
        <w:numPr>
          <w:ilvl w:val="0"/>
          <w:numId w:val="7"/>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en-IN"/>
        </w:rPr>
      </w:pPr>
      <w:r w:rsidRPr="0057001A">
        <w:rPr>
          <w:rFonts w:ascii="Times New Roman" w:eastAsia="Times New Roman" w:hAnsi="Times New Roman" w:cs="Times New Roman"/>
          <w:color w:val="000000"/>
          <w:sz w:val="24"/>
          <w:szCs w:val="24"/>
          <w:lang w:eastAsia="en-IN"/>
        </w:rPr>
        <w:t>Treatment, payment, and healthcare operations</w:t>
      </w:r>
      <w:r w:rsidRPr="0057001A">
        <w:rPr>
          <w:rFonts w:ascii="Times New Roman" w:eastAsia="Times New Roman" w:hAnsi="Times New Roman" w:cs="Times New Roman"/>
          <w:color w:val="000000"/>
          <w:sz w:val="24"/>
          <w:szCs w:val="24"/>
          <w:lang w:eastAsia="en-IN"/>
        </w:rPr>
        <w:t>.</w:t>
      </w:r>
    </w:p>
    <w:p w14:paraId="1CA23684" w14:textId="77777777" w:rsidR="0057001A" w:rsidRPr="0057001A" w:rsidRDefault="0057001A" w:rsidP="0057001A">
      <w:pPr>
        <w:pStyle w:val="ListParagraph"/>
        <w:rPr>
          <w:rFonts w:ascii="Times New Roman" w:eastAsia="Times New Roman" w:hAnsi="Times New Roman" w:cs="Times New Roman"/>
          <w:color w:val="000000"/>
          <w:sz w:val="24"/>
          <w:szCs w:val="24"/>
          <w:lang w:eastAsia="en-IN"/>
        </w:rPr>
      </w:pPr>
    </w:p>
    <w:p w14:paraId="19625A97" w14:textId="77777777" w:rsidR="0057001A" w:rsidRDefault="0057001A" w:rsidP="0057001A">
      <w:pPr>
        <w:pStyle w:val="ListParagraph"/>
        <w:numPr>
          <w:ilvl w:val="0"/>
          <w:numId w:val="7"/>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en-IN"/>
        </w:rPr>
      </w:pPr>
      <w:r w:rsidRPr="0057001A">
        <w:rPr>
          <w:rFonts w:ascii="Times New Roman" w:eastAsia="Times New Roman" w:hAnsi="Times New Roman" w:cs="Times New Roman"/>
          <w:color w:val="000000"/>
          <w:sz w:val="24"/>
          <w:szCs w:val="24"/>
          <w:lang w:eastAsia="en-IN"/>
        </w:rPr>
        <w:lastRenderedPageBreak/>
        <w:t>Opportunity to agree or object to the disclosure of PHI (Informal permission may be obtained by asking the individual outright, or by circumstances that clearly give the individual the opportunity to agree, acquiesce, or object)</w:t>
      </w:r>
      <w:r w:rsidRPr="0057001A">
        <w:rPr>
          <w:rFonts w:ascii="Times New Roman" w:eastAsia="Times New Roman" w:hAnsi="Times New Roman" w:cs="Times New Roman"/>
          <w:color w:val="000000"/>
          <w:sz w:val="24"/>
          <w:szCs w:val="24"/>
          <w:lang w:eastAsia="en-IN"/>
        </w:rPr>
        <w:t>.</w:t>
      </w:r>
    </w:p>
    <w:p w14:paraId="6D3A1E4E" w14:textId="77777777" w:rsidR="0057001A" w:rsidRPr="0057001A" w:rsidRDefault="0057001A" w:rsidP="0057001A">
      <w:pPr>
        <w:pStyle w:val="ListParagraph"/>
        <w:rPr>
          <w:rFonts w:ascii="Times New Roman" w:eastAsia="Times New Roman" w:hAnsi="Times New Roman" w:cs="Times New Roman"/>
          <w:color w:val="000000"/>
          <w:sz w:val="24"/>
          <w:szCs w:val="24"/>
          <w:lang w:eastAsia="en-IN"/>
        </w:rPr>
      </w:pPr>
    </w:p>
    <w:p w14:paraId="545E4AB3" w14:textId="3D664A1E" w:rsidR="0057001A" w:rsidRDefault="0057001A" w:rsidP="0057001A">
      <w:pPr>
        <w:pStyle w:val="ListParagraph"/>
        <w:numPr>
          <w:ilvl w:val="0"/>
          <w:numId w:val="7"/>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en-IN"/>
        </w:rPr>
      </w:pPr>
      <w:r w:rsidRPr="0057001A">
        <w:rPr>
          <w:rFonts w:ascii="Times New Roman" w:eastAsia="Times New Roman" w:hAnsi="Times New Roman" w:cs="Times New Roman"/>
          <w:color w:val="000000"/>
          <w:sz w:val="24"/>
          <w:szCs w:val="24"/>
          <w:lang w:eastAsia="en-IN"/>
        </w:rPr>
        <w:t>Incident to an otherwise permitted use and disclosure</w:t>
      </w:r>
      <w:r w:rsidR="000E2C25">
        <w:rPr>
          <w:rFonts w:ascii="Times New Roman" w:eastAsia="Times New Roman" w:hAnsi="Times New Roman" w:cs="Times New Roman"/>
          <w:color w:val="000000"/>
          <w:sz w:val="24"/>
          <w:szCs w:val="24"/>
          <w:lang w:eastAsia="en-IN"/>
        </w:rPr>
        <w:t>.</w:t>
      </w:r>
    </w:p>
    <w:p w14:paraId="40649EC0" w14:textId="77777777" w:rsidR="0057001A" w:rsidRPr="0057001A" w:rsidRDefault="0057001A" w:rsidP="0057001A">
      <w:pPr>
        <w:pStyle w:val="ListParagraph"/>
        <w:rPr>
          <w:rFonts w:ascii="Times New Roman" w:eastAsia="Times New Roman" w:hAnsi="Times New Roman" w:cs="Times New Roman"/>
          <w:color w:val="000000"/>
          <w:sz w:val="24"/>
          <w:szCs w:val="24"/>
          <w:lang w:eastAsia="en-IN"/>
        </w:rPr>
      </w:pPr>
    </w:p>
    <w:p w14:paraId="587EAA11" w14:textId="6931FA90" w:rsidR="0057001A" w:rsidRPr="0057001A" w:rsidRDefault="0057001A" w:rsidP="0057001A">
      <w:pPr>
        <w:pStyle w:val="ListParagraph"/>
        <w:numPr>
          <w:ilvl w:val="0"/>
          <w:numId w:val="7"/>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en-IN"/>
        </w:rPr>
      </w:pPr>
      <w:r w:rsidRPr="0057001A">
        <w:rPr>
          <w:rFonts w:ascii="Times New Roman" w:eastAsia="Times New Roman" w:hAnsi="Times New Roman" w:cs="Times New Roman"/>
          <w:color w:val="000000"/>
          <w:sz w:val="24"/>
          <w:szCs w:val="24"/>
          <w:lang w:eastAsia="en-IN"/>
        </w:rPr>
        <w:t>Public interest and benefit activities</w:t>
      </w:r>
      <w:r w:rsidR="000E2C25">
        <w:rPr>
          <w:rFonts w:ascii="Times New Roman" w:eastAsia="Times New Roman" w:hAnsi="Times New Roman" w:cs="Times New Roman"/>
          <w:color w:val="000000"/>
          <w:sz w:val="24"/>
          <w:szCs w:val="24"/>
          <w:lang w:eastAsia="en-IN"/>
        </w:rPr>
        <w:t>.</w:t>
      </w:r>
    </w:p>
    <w:p w14:paraId="06F01F4E" w14:textId="1445056A" w:rsidR="000E2C25" w:rsidRDefault="000E2C25" w:rsidP="000E2C25">
      <w:pPr>
        <w:spacing w:line="360" w:lineRule="auto"/>
        <w:jc w:val="both"/>
        <w:rPr>
          <w:rFonts w:ascii="Times New Roman" w:hAnsi="Times New Roman" w:cs="Times New Roman"/>
          <w:color w:val="2D3B45"/>
          <w:shd w:val="clear" w:color="auto" w:fill="FFFFFF"/>
        </w:rPr>
      </w:pPr>
    </w:p>
    <w:p w14:paraId="36ED603E" w14:textId="4B91EEDC" w:rsidR="000E2C25" w:rsidRDefault="000E2C25" w:rsidP="000E2C25">
      <w:pPr>
        <w:spacing w:line="360" w:lineRule="auto"/>
        <w:jc w:val="both"/>
        <w:rPr>
          <w:rFonts w:ascii="Times New Roman" w:hAnsi="Times New Roman" w:cs="Times New Roman"/>
          <w:color w:val="2D3B45"/>
          <w:shd w:val="clear" w:color="auto" w:fill="FFFFFF"/>
        </w:rPr>
      </w:pPr>
    </w:p>
    <w:p w14:paraId="38853A93" w14:textId="31EAF10D" w:rsidR="000E2C25" w:rsidRDefault="000E2C25" w:rsidP="000E2C25">
      <w:pPr>
        <w:pStyle w:val="ListParagraph"/>
        <w:numPr>
          <w:ilvl w:val="0"/>
          <w:numId w:val="4"/>
        </w:numPr>
        <w:spacing w:line="360" w:lineRule="auto"/>
        <w:jc w:val="both"/>
        <w:rPr>
          <w:rFonts w:ascii="Times New Roman" w:hAnsi="Times New Roman" w:cs="Times New Roman"/>
          <w:b/>
          <w:bCs/>
          <w:color w:val="2D3B45"/>
          <w:sz w:val="28"/>
          <w:szCs w:val="28"/>
          <w:shd w:val="clear" w:color="auto" w:fill="FFFFFF"/>
        </w:rPr>
      </w:pPr>
      <w:r w:rsidRPr="000E2C25">
        <w:rPr>
          <w:rFonts w:ascii="Times New Roman" w:hAnsi="Times New Roman" w:cs="Times New Roman"/>
          <w:b/>
          <w:bCs/>
          <w:color w:val="2D3B45"/>
          <w:sz w:val="28"/>
          <w:szCs w:val="28"/>
          <w:shd w:val="clear" w:color="auto" w:fill="FFFFFF"/>
        </w:rPr>
        <w:t>PCI-DSS:</w:t>
      </w:r>
    </w:p>
    <w:p w14:paraId="1D2E4A5B" w14:textId="13E7353E" w:rsidR="000E2C25" w:rsidRDefault="000E2C25" w:rsidP="000E2C25">
      <w:pPr>
        <w:pStyle w:val="ListParagraph"/>
        <w:spacing w:line="360" w:lineRule="auto"/>
        <w:jc w:val="both"/>
        <w:rPr>
          <w:rFonts w:ascii="Times New Roman" w:hAnsi="Times New Roman" w:cs="Times New Roman"/>
          <w:b/>
          <w:bCs/>
          <w:color w:val="2D3B45"/>
          <w:sz w:val="28"/>
          <w:szCs w:val="28"/>
          <w:shd w:val="clear" w:color="auto" w:fill="FFFFFF"/>
        </w:rPr>
      </w:pPr>
    </w:p>
    <w:p w14:paraId="27F23722" w14:textId="3685F981" w:rsidR="000E2C25" w:rsidRDefault="000E2C25" w:rsidP="000E2C25">
      <w:pPr>
        <w:pStyle w:val="ListParagraph"/>
        <w:numPr>
          <w:ilvl w:val="0"/>
          <w:numId w:val="5"/>
        </w:numPr>
        <w:spacing w:line="360" w:lineRule="auto"/>
        <w:jc w:val="both"/>
        <w:rPr>
          <w:rFonts w:ascii="Times New Roman" w:hAnsi="Times New Roman" w:cs="Times New Roman"/>
          <w:b/>
          <w:bCs/>
          <w:color w:val="2D3B45"/>
          <w:sz w:val="24"/>
          <w:szCs w:val="24"/>
          <w:shd w:val="clear" w:color="auto" w:fill="FFFFFF"/>
        </w:rPr>
      </w:pPr>
      <w:r w:rsidRPr="000E2C25">
        <w:rPr>
          <w:rFonts w:ascii="Times New Roman" w:hAnsi="Times New Roman" w:cs="Times New Roman"/>
          <w:b/>
          <w:bCs/>
          <w:color w:val="2D3B45"/>
          <w:sz w:val="24"/>
          <w:szCs w:val="24"/>
          <w:shd w:val="clear" w:color="auto" w:fill="FFFFFF"/>
        </w:rPr>
        <w:t>Brief:</w:t>
      </w:r>
    </w:p>
    <w:p w14:paraId="4CC19AEF" w14:textId="3A61B132" w:rsidR="000E2C25" w:rsidRDefault="000E2C25" w:rsidP="000E2C25">
      <w:pPr>
        <w:pStyle w:val="ListParagraph"/>
        <w:spacing w:line="360" w:lineRule="auto"/>
        <w:ind w:left="927"/>
        <w:jc w:val="both"/>
        <w:rPr>
          <w:rFonts w:ascii="Times New Roman" w:hAnsi="Times New Roman" w:cs="Times New Roman"/>
          <w:b/>
          <w:bCs/>
          <w:color w:val="2D3B45"/>
          <w:sz w:val="24"/>
          <w:szCs w:val="24"/>
          <w:shd w:val="clear" w:color="auto" w:fill="FFFFFF"/>
        </w:rPr>
      </w:pPr>
    </w:p>
    <w:p w14:paraId="50D793FE" w14:textId="116989A0" w:rsidR="000E2C25" w:rsidRDefault="000E2C25" w:rsidP="00233343">
      <w:pPr>
        <w:pStyle w:val="ListParagraph"/>
        <w:spacing w:line="360" w:lineRule="auto"/>
        <w:ind w:left="927"/>
        <w:jc w:val="both"/>
        <w:rPr>
          <w:rFonts w:ascii="Times New Roman" w:hAnsi="Times New Roman" w:cs="Times New Roman"/>
          <w:color w:val="2D3B45"/>
          <w:sz w:val="24"/>
          <w:szCs w:val="24"/>
          <w:shd w:val="clear" w:color="auto" w:fill="FFFFFF"/>
        </w:rPr>
      </w:pPr>
      <w:r w:rsidRPr="000E2C25">
        <w:rPr>
          <w:rFonts w:ascii="Times New Roman" w:hAnsi="Times New Roman" w:cs="Times New Roman"/>
          <w:color w:val="2D3B45"/>
          <w:sz w:val="24"/>
          <w:szCs w:val="24"/>
          <w:shd w:val="clear" w:color="auto" w:fill="FFFFFF"/>
        </w:rPr>
        <w:t>Payment Card Industry Data Security Standard is one of the most granular and</w:t>
      </w:r>
      <w:r>
        <w:rPr>
          <w:rFonts w:ascii="Times New Roman" w:hAnsi="Times New Roman" w:cs="Times New Roman"/>
          <w:color w:val="2D3B45"/>
          <w:sz w:val="24"/>
          <w:szCs w:val="24"/>
          <w:shd w:val="clear" w:color="auto" w:fill="FFFFFF"/>
        </w:rPr>
        <w:t xml:space="preserve"> </w:t>
      </w:r>
      <w:r w:rsidRPr="000E2C25">
        <w:rPr>
          <w:rFonts w:ascii="Times New Roman" w:hAnsi="Times New Roman" w:cs="Times New Roman"/>
          <w:color w:val="2D3B45"/>
          <w:sz w:val="24"/>
          <w:szCs w:val="24"/>
          <w:shd w:val="clear" w:color="auto" w:fill="FFFFFF"/>
        </w:rPr>
        <w:t>specific standards aiming towards securing credit and debit card related</w:t>
      </w:r>
      <w:r w:rsidRPr="000E2C25">
        <w:rPr>
          <w:rFonts w:ascii="Times New Roman" w:hAnsi="Times New Roman" w:cs="Times New Roman"/>
          <w:color w:val="2D3B45"/>
          <w:sz w:val="24"/>
          <w:szCs w:val="24"/>
          <w:shd w:val="clear" w:color="auto" w:fill="FFFFFF"/>
        </w:rPr>
        <w:t xml:space="preserve"> </w:t>
      </w:r>
      <w:r w:rsidRPr="000E2C25">
        <w:rPr>
          <w:rFonts w:ascii="Times New Roman" w:hAnsi="Times New Roman" w:cs="Times New Roman"/>
          <w:color w:val="2D3B45"/>
          <w:sz w:val="24"/>
          <w:szCs w:val="24"/>
          <w:shd w:val="clear" w:color="auto" w:fill="FFFFFF"/>
        </w:rPr>
        <w:t xml:space="preserve">information. It applies to all entities involved in payment card processing including </w:t>
      </w:r>
      <w:r w:rsidR="00233343" w:rsidRPr="000E2C25">
        <w:rPr>
          <w:rFonts w:ascii="Times New Roman" w:hAnsi="Times New Roman" w:cs="Times New Roman"/>
          <w:color w:val="2D3B45"/>
          <w:sz w:val="24"/>
          <w:szCs w:val="24"/>
          <w:shd w:val="clear" w:color="auto" w:fill="FFFFFF"/>
        </w:rPr>
        <w:t>merchants’</w:t>
      </w:r>
      <w:r>
        <w:rPr>
          <w:rFonts w:ascii="Times New Roman" w:hAnsi="Times New Roman" w:cs="Times New Roman"/>
          <w:color w:val="2D3B45"/>
          <w:sz w:val="24"/>
          <w:szCs w:val="24"/>
          <w:shd w:val="clear" w:color="auto" w:fill="FFFFFF"/>
        </w:rPr>
        <w:t xml:space="preserve"> </w:t>
      </w:r>
      <w:r w:rsidRPr="000E2C25">
        <w:rPr>
          <w:rFonts w:ascii="Times New Roman" w:hAnsi="Times New Roman" w:cs="Times New Roman"/>
          <w:color w:val="2D3B45"/>
          <w:sz w:val="24"/>
          <w:szCs w:val="24"/>
          <w:shd w:val="clear" w:color="auto" w:fill="FFFFFF"/>
        </w:rPr>
        <w:t>processors, acquirers, issuers, and service providers, as</w:t>
      </w:r>
      <w:r>
        <w:rPr>
          <w:rFonts w:ascii="Times New Roman" w:hAnsi="Times New Roman" w:cs="Times New Roman"/>
          <w:color w:val="2D3B45"/>
          <w:sz w:val="24"/>
          <w:szCs w:val="24"/>
          <w:shd w:val="clear" w:color="auto" w:fill="FFFFFF"/>
        </w:rPr>
        <w:t xml:space="preserve"> </w:t>
      </w:r>
      <w:r w:rsidRPr="000E2C25">
        <w:rPr>
          <w:rFonts w:ascii="Times New Roman" w:hAnsi="Times New Roman" w:cs="Times New Roman"/>
          <w:color w:val="2D3B45"/>
          <w:sz w:val="24"/>
          <w:szCs w:val="24"/>
          <w:shd w:val="clear" w:color="auto" w:fill="FFFFFF"/>
        </w:rPr>
        <w:t>well as all other entities that store, process or transmits cardholder data (CHD)</w:t>
      </w:r>
      <w:r w:rsidR="00233343">
        <w:rPr>
          <w:rFonts w:ascii="Times New Roman" w:hAnsi="Times New Roman" w:cs="Times New Roman"/>
          <w:color w:val="2D3B45"/>
          <w:sz w:val="24"/>
          <w:szCs w:val="24"/>
          <w:shd w:val="clear" w:color="auto" w:fill="FFFFFF"/>
        </w:rPr>
        <w:t xml:space="preserve"> </w:t>
      </w:r>
      <w:r w:rsidRPr="00233343">
        <w:rPr>
          <w:rFonts w:ascii="Times New Roman" w:hAnsi="Times New Roman" w:cs="Times New Roman"/>
          <w:color w:val="2D3B45"/>
          <w:sz w:val="24"/>
          <w:szCs w:val="24"/>
          <w:shd w:val="clear" w:color="auto" w:fill="FFFFFF"/>
        </w:rPr>
        <w:t>and/or sensitive authentication data (SAD). PCI DSS is Industry regulation</w:t>
      </w:r>
      <w:r w:rsidR="00233343">
        <w:rPr>
          <w:rFonts w:ascii="Times New Roman" w:hAnsi="Times New Roman" w:cs="Times New Roman"/>
          <w:color w:val="2D3B45"/>
          <w:sz w:val="24"/>
          <w:szCs w:val="24"/>
          <w:shd w:val="clear" w:color="auto" w:fill="FFFFFF"/>
        </w:rPr>
        <w:t xml:space="preserve"> </w:t>
      </w:r>
      <w:r w:rsidRPr="00233343">
        <w:rPr>
          <w:rFonts w:ascii="Times New Roman" w:hAnsi="Times New Roman" w:cs="Times New Roman"/>
          <w:color w:val="2D3B45"/>
          <w:sz w:val="24"/>
          <w:szCs w:val="24"/>
          <w:shd w:val="clear" w:color="auto" w:fill="FFFFFF"/>
        </w:rPr>
        <w:t>enforced by payment brands and has set 6 goals, broken into 12 requirements</w:t>
      </w:r>
      <w:r w:rsidR="00233343">
        <w:rPr>
          <w:rFonts w:ascii="Times New Roman" w:hAnsi="Times New Roman" w:cs="Times New Roman"/>
          <w:color w:val="2D3B45"/>
          <w:sz w:val="24"/>
          <w:szCs w:val="24"/>
          <w:shd w:val="clear" w:color="auto" w:fill="FFFFFF"/>
        </w:rPr>
        <w:t xml:space="preserve"> </w:t>
      </w:r>
      <w:r w:rsidRPr="00233343">
        <w:rPr>
          <w:rFonts w:ascii="Times New Roman" w:hAnsi="Times New Roman" w:cs="Times New Roman"/>
          <w:color w:val="2D3B45"/>
          <w:sz w:val="24"/>
          <w:szCs w:val="24"/>
          <w:shd w:val="clear" w:color="auto" w:fill="FFFFFF"/>
        </w:rPr>
        <w:t>and more than 300 sub-requirements to be implemented within the cardholder</w:t>
      </w:r>
      <w:r w:rsidR="00233343">
        <w:rPr>
          <w:rFonts w:ascii="Times New Roman" w:hAnsi="Times New Roman" w:cs="Times New Roman"/>
          <w:color w:val="2D3B45"/>
          <w:sz w:val="24"/>
          <w:szCs w:val="24"/>
          <w:shd w:val="clear" w:color="auto" w:fill="FFFFFF"/>
        </w:rPr>
        <w:t xml:space="preserve"> </w:t>
      </w:r>
      <w:r w:rsidRPr="00233343">
        <w:rPr>
          <w:rFonts w:ascii="Times New Roman" w:hAnsi="Times New Roman" w:cs="Times New Roman"/>
          <w:color w:val="2D3B45"/>
          <w:sz w:val="24"/>
          <w:szCs w:val="24"/>
          <w:shd w:val="clear" w:color="auto" w:fill="FFFFFF"/>
        </w:rPr>
        <w:t>data environment.</w:t>
      </w:r>
    </w:p>
    <w:p w14:paraId="1A8ABACE" w14:textId="572D2E6D" w:rsidR="00233343" w:rsidRDefault="00233343" w:rsidP="00233343">
      <w:pPr>
        <w:pStyle w:val="ListParagraph"/>
        <w:spacing w:line="360" w:lineRule="auto"/>
        <w:ind w:left="927"/>
        <w:jc w:val="both"/>
        <w:rPr>
          <w:rFonts w:ascii="Times New Roman" w:hAnsi="Times New Roman" w:cs="Times New Roman"/>
          <w:color w:val="2D3B45"/>
          <w:sz w:val="24"/>
          <w:szCs w:val="24"/>
          <w:shd w:val="clear" w:color="auto" w:fill="FFFFFF"/>
        </w:rPr>
      </w:pPr>
    </w:p>
    <w:p w14:paraId="6E3982F8" w14:textId="46D8FD1D" w:rsidR="001A6252" w:rsidRDefault="00233343" w:rsidP="001A6252">
      <w:pPr>
        <w:pStyle w:val="ListParagraph"/>
        <w:numPr>
          <w:ilvl w:val="0"/>
          <w:numId w:val="5"/>
        </w:numPr>
        <w:spacing w:line="360" w:lineRule="auto"/>
        <w:jc w:val="both"/>
        <w:rPr>
          <w:rFonts w:ascii="Times New Roman" w:hAnsi="Times New Roman" w:cs="Times New Roman"/>
          <w:b/>
          <w:bCs/>
          <w:color w:val="2D3B45"/>
          <w:sz w:val="24"/>
          <w:szCs w:val="24"/>
          <w:shd w:val="clear" w:color="auto" w:fill="FFFFFF"/>
        </w:rPr>
      </w:pPr>
      <w:r w:rsidRPr="0057001A">
        <w:rPr>
          <w:rFonts w:ascii="Times New Roman" w:hAnsi="Times New Roman" w:cs="Times New Roman"/>
          <w:b/>
          <w:bCs/>
          <w:color w:val="2D3B45"/>
          <w:sz w:val="24"/>
          <w:szCs w:val="24"/>
          <w:shd w:val="clear" w:color="auto" w:fill="FFFFFF"/>
        </w:rPr>
        <w:t>Uses:</w:t>
      </w:r>
    </w:p>
    <w:p w14:paraId="0D7319E1" w14:textId="77777777" w:rsidR="001A6252" w:rsidRDefault="001A6252" w:rsidP="001A6252">
      <w:pPr>
        <w:pStyle w:val="ListParagraph"/>
        <w:spacing w:line="360" w:lineRule="auto"/>
        <w:ind w:left="927"/>
        <w:jc w:val="both"/>
        <w:rPr>
          <w:rFonts w:ascii="Times New Roman" w:hAnsi="Times New Roman" w:cs="Times New Roman"/>
          <w:b/>
          <w:bCs/>
          <w:color w:val="2D3B45"/>
          <w:sz w:val="24"/>
          <w:szCs w:val="24"/>
          <w:shd w:val="clear" w:color="auto" w:fill="FFFFFF"/>
        </w:rPr>
      </w:pPr>
    </w:p>
    <w:p w14:paraId="69AF095D" w14:textId="77777777" w:rsidR="001A6252" w:rsidRPr="001A6252" w:rsidRDefault="00233343" w:rsidP="001A6252">
      <w:pPr>
        <w:pStyle w:val="ListParagraph"/>
        <w:numPr>
          <w:ilvl w:val="0"/>
          <w:numId w:val="10"/>
        </w:numPr>
        <w:spacing w:line="360" w:lineRule="auto"/>
        <w:jc w:val="both"/>
        <w:rPr>
          <w:rFonts w:ascii="Times New Roman" w:hAnsi="Times New Roman" w:cs="Times New Roman"/>
          <w:b/>
          <w:bCs/>
          <w:color w:val="2D3B45"/>
          <w:sz w:val="24"/>
          <w:szCs w:val="24"/>
          <w:shd w:val="clear" w:color="auto" w:fill="FFFFFF"/>
        </w:rPr>
      </w:pPr>
      <w:r w:rsidRPr="001A6252">
        <w:rPr>
          <w:rFonts w:ascii="Times New Roman" w:hAnsi="Times New Roman" w:cs="Times New Roman"/>
          <w:color w:val="2D3B45"/>
          <w:sz w:val="24"/>
          <w:szCs w:val="24"/>
          <w:shd w:val="clear" w:color="auto" w:fill="FFFFFF"/>
        </w:rPr>
        <w:t>Build and Maintain a Secure Network and Systems.</w:t>
      </w:r>
    </w:p>
    <w:p w14:paraId="2B9E60CC" w14:textId="77777777" w:rsidR="001A6252" w:rsidRPr="001A6252" w:rsidRDefault="00233343" w:rsidP="001A6252">
      <w:pPr>
        <w:pStyle w:val="ListParagraph"/>
        <w:numPr>
          <w:ilvl w:val="0"/>
          <w:numId w:val="10"/>
        </w:numPr>
        <w:spacing w:line="360" w:lineRule="auto"/>
        <w:jc w:val="both"/>
        <w:rPr>
          <w:rFonts w:ascii="Times New Roman" w:hAnsi="Times New Roman" w:cs="Times New Roman"/>
          <w:b/>
          <w:bCs/>
          <w:color w:val="2D3B45"/>
          <w:sz w:val="24"/>
          <w:szCs w:val="24"/>
          <w:shd w:val="clear" w:color="auto" w:fill="FFFFFF"/>
        </w:rPr>
      </w:pPr>
      <w:r w:rsidRPr="001A6252">
        <w:rPr>
          <w:rFonts w:ascii="Times New Roman" w:hAnsi="Times New Roman" w:cs="Times New Roman"/>
          <w:color w:val="2D3B45"/>
          <w:sz w:val="24"/>
          <w:szCs w:val="24"/>
          <w:shd w:val="clear" w:color="auto" w:fill="FFFFFF"/>
        </w:rPr>
        <w:t>Protect Cardholder Data.</w:t>
      </w:r>
    </w:p>
    <w:p w14:paraId="342C45BD" w14:textId="77777777" w:rsidR="001A6252" w:rsidRPr="001A6252" w:rsidRDefault="00233343" w:rsidP="001A6252">
      <w:pPr>
        <w:pStyle w:val="ListParagraph"/>
        <w:numPr>
          <w:ilvl w:val="0"/>
          <w:numId w:val="10"/>
        </w:numPr>
        <w:spacing w:line="360" w:lineRule="auto"/>
        <w:jc w:val="both"/>
        <w:rPr>
          <w:rFonts w:ascii="Times New Roman" w:hAnsi="Times New Roman" w:cs="Times New Roman"/>
          <w:b/>
          <w:bCs/>
          <w:color w:val="2D3B45"/>
          <w:sz w:val="24"/>
          <w:szCs w:val="24"/>
          <w:shd w:val="clear" w:color="auto" w:fill="FFFFFF"/>
        </w:rPr>
      </w:pPr>
      <w:r w:rsidRPr="001A6252">
        <w:rPr>
          <w:rFonts w:ascii="Times New Roman" w:hAnsi="Times New Roman" w:cs="Times New Roman"/>
          <w:color w:val="2D3B45"/>
          <w:sz w:val="24"/>
          <w:szCs w:val="24"/>
          <w:shd w:val="clear" w:color="auto" w:fill="FFFFFF"/>
        </w:rPr>
        <w:t>Maintain a Vulnerability Management Program.</w:t>
      </w:r>
    </w:p>
    <w:p w14:paraId="6866A6B9" w14:textId="77777777" w:rsidR="001A6252" w:rsidRPr="001A6252" w:rsidRDefault="00233343" w:rsidP="001A6252">
      <w:pPr>
        <w:pStyle w:val="ListParagraph"/>
        <w:numPr>
          <w:ilvl w:val="0"/>
          <w:numId w:val="10"/>
        </w:numPr>
        <w:spacing w:line="360" w:lineRule="auto"/>
        <w:jc w:val="both"/>
        <w:rPr>
          <w:rFonts w:ascii="Times New Roman" w:hAnsi="Times New Roman" w:cs="Times New Roman"/>
          <w:b/>
          <w:bCs/>
          <w:color w:val="2D3B45"/>
          <w:sz w:val="24"/>
          <w:szCs w:val="24"/>
          <w:shd w:val="clear" w:color="auto" w:fill="FFFFFF"/>
        </w:rPr>
      </w:pPr>
      <w:r w:rsidRPr="001A6252">
        <w:rPr>
          <w:rFonts w:ascii="Times New Roman" w:hAnsi="Times New Roman" w:cs="Times New Roman"/>
          <w:color w:val="2D3B45"/>
          <w:sz w:val="24"/>
          <w:szCs w:val="24"/>
          <w:shd w:val="clear" w:color="auto" w:fill="FFFFFF"/>
        </w:rPr>
        <w:t>Implement Strong Access Control Measures.</w:t>
      </w:r>
    </w:p>
    <w:p w14:paraId="6DC20223" w14:textId="77777777" w:rsidR="001A6252" w:rsidRPr="001A6252" w:rsidRDefault="00233343" w:rsidP="001A6252">
      <w:pPr>
        <w:pStyle w:val="ListParagraph"/>
        <w:numPr>
          <w:ilvl w:val="0"/>
          <w:numId w:val="10"/>
        </w:numPr>
        <w:spacing w:line="360" w:lineRule="auto"/>
        <w:jc w:val="both"/>
        <w:rPr>
          <w:rFonts w:ascii="Times New Roman" w:hAnsi="Times New Roman" w:cs="Times New Roman"/>
          <w:b/>
          <w:bCs/>
          <w:color w:val="2D3B45"/>
          <w:sz w:val="24"/>
          <w:szCs w:val="24"/>
          <w:shd w:val="clear" w:color="auto" w:fill="FFFFFF"/>
        </w:rPr>
      </w:pPr>
      <w:r w:rsidRPr="001A6252">
        <w:rPr>
          <w:rFonts w:ascii="Times New Roman" w:hAnsi="Times New Roman" w:cs="Times New Roman"/>
          <w:color w:val="2D3B45"/>
          <w:sz w:val="24"/>
          <w:szCs w:val="24"/>
          <w:shd w:val="clear" w:color="auto" w:fill="FFFFFF"/>
        </w:rPr>
        <w:t>Regularly Monitor and Test Networks.</w:t>
      </w:r>
    </w:p>
    <w:p w14:paraId="7B5AF146" w14:textId="3AC30B96" w:rsidR="00233343" w:rsidRPr="003E141C" w:rsidRDefault="00233343" w:rsidP="001A6252">
      <w:pPr>
        <w:pStyle w:val="ListParagraph"/>
        <w:numPr>
          <w:ilvl w:val="0"/>
          <w:numId w:val="10"/>
        </w:numPr>
        <w:spacing w:line="360" w:lineRule="auto"/>
        <w:jc w:val="both"/>
        <w:rPr>
          <w:rFonts w:ascii="Times New Roman" w:hAnsi="Times New Roman" w:cs="Times New Roman"/>
          <w:b/>
          <w:bCs/>
          <w:color w:val="2D3B45"/>
          <w:sz w:val="24"/>
          <w:szCs w:val="24"/>
          <w:shd w:val="clear" w:color="auto" w:fill="FFFFFF"/>
        </w:rPr>
      </w:pPr>
      <w:r w:rsidRPr="001A6252">
        <w:rPr>
          <w:rFonts w:ascii="Times New Roman" w:hAnsi="Times New Roman" w:cs="Times New Roman"/>
          <w:color w:val="2D3B45"/>
          <w:sz w:val="24"/>
          <w:szCs w:val="24"/>
          <w:shd w:val="clear" w:color="auto" w:fill="FFFFFF"/>
        </w:rPr>
        <w:t>Maintain an Information Security Policy.</w:t>
      </w:r>
    </w:p>
    <w:p w14:paraId="67A04CF6" w14:textId="0BB5608C" w:rsidR="003E141C" w:rsidRDefault="003E141C" w:rsidP="003E141C">
      <w:pPr>
        <w:pStyle w:val="ListParagraph"/>
        <w:spacing w:line="360" w:lineRule="auto"/>
        <w:ind w:left="1287"/>
        <w:jc w:val="both"/>
        <w:rPr>
          <w:rFonts w:ascii="Times New Roman" w:hAnsi="Times New Roman" w:cs="Times New Roman"/>
          <w:color w:val="2D3B45"/>
          <w:sz w:val="24"/>
          <w:szCs w:val="24"/>
          <w:shd w:val="clear" w:color="auto" w:fill="FFFFFF"/>
        </w:rPr>
      </w:pPr>
    </w:p>
    <w:p w14:paraId="484592E8" w14:textId="5340CE4D" w:rsidR="003E141C" w:rsidRDefault="003E141C" w:rsidP="003E141C">
      <w:pPr>
        <w:pStyle w:val="ListParagraph"/>
        <w:spacing w:line="360" w:lineRule="auto"/>
        <w:ind w:left="1287"/>
        <w:jc w:val="both"/>
        <w:rPr>
          <w:rFonts w:ascii="Times New Roman" w:hAnsi="Times New Roman" w:cs="Times New Roman"/>
          <w:color w:val="2D3B45"/>
          <w:sz w:val="24"/>
          <w:szCs w:val="24"/>
          <w:shd w:val="clear" w:color="auto" w:fill="FFFFFF"/>
        </w:rPr>
      </w:pPr>
    </w:p>
    <w:p w14:paraId="783738E9" w14:textId="798F33C8" w:rsidR="003E141C" w:rsidRDefault="003E141C" w:rsidP="003E141C">
      <w:pPr>
        <w:pStyle w:val="ListParagraph"/>
        <w:spacing w:line="360" w:lineRule="auto"/>
        <w:ind w:left="1287"/>
        <w:jc w:val="both"/>
        <w:rPr>
          <w:rFonts w:ascii="Times New Roman" w:hAnsi="Times New Roman" w:cs="Times New Roman"/>
          <w:color w:val="2D3B45"/>
          <w:sz w:val="24"/>
          <w:szCs w:val="24"/>
          <w:shd w:val="clear" w:color="auto" w:fill="FFFFFF"/>
        </w:rPr>
      </w:pPr>
    </w:p>
    <w:p w14:paraId="134DDA0C" w14:textId="43F03FEA" w:rsidR="003E141C" w:rsidRDefault="003E141C" w:rsidP="003E141C">
      <w:pPr>
        <w:pStyle w:val="ListParagraph"/>
        <w:numPr>
          <w:ilvl w:val="0"/>
          <w:numId w:val="4"/>
        </w:numPr>
        <w:spacing w:line="360" w:lineRule="auto"/>
        <w:jc w:val="both"/>
        <w:rPr>
          <w:rFonts w:ascii="Times New Roman" w:hAnsi="Times New Roman" w:cs="Times New Roman"/>
          <w:b/>
          <w:bCs/>
          <w:color w:val="2D3B45"/>
          <w:sz w:val="28"/>
          <w:szCs w:val="28"/>
          <w:shd w:val="clear" w:color="auto" w:fill="FFFFFF"/>
        </w:rPr>
      </w:pPr>
      <w:r w:rsidRPr="003E141C">
        <w:rPr>
          <w:rFonts w:ascii="Times New Roman" w:hAnsi="Times New Roman" w:cs="Times New Roman"/>
          <w:b/>
          <w:bCs/>
          <w:color w:val="2D3B45"/>
          <w:sz w:val="28"/>
          <w:szCs w:val="28"/>
          <w:shd w:val="clear" w:color="auto" w:fill="FFFFFF"/>
        </w:rPr>
        <w:lastRenderedPageBreak/>
        <w:t>FIPS (Federal Information Processing Standard):</w:t>
      </w:r>
    </w:p>
    <w:p w14:paraId="2CB2CCBC" w14:textId="77777777" w:rsidR="003E141C" w:rsidRDefault="003E141C" w:rsidP="003E141C">
      <w:pPr>
        <w:pStyle w:val="ListParagraph"/>
        <w:spacing w:line="360" w:lineRule="auto"/>
        <w:jc w:val="both"/>
        <w:rPr>
          <w:rFonts w:ascii="Times New Roman" w:hAnsi="Times New Roman" w:cs="Times New Roman"/>
          <w:b/>
          <w:bCs/>
          <w:color w:val="2D3B45"/>
          <w:sz w:val="28"/>
          <w:szCs w:val="28"/>
          <w:shd w:val="clear" w:color="auto" w:fill="FFFFFF"/>
        </w:rPr>
      </w:pPr>
    </w:p>
    <w:p w14:paraId="626521FC" w14:textId="77777777" w:rsidR="003E141C" w:rsidRDefault="003E141C" w:rsidP="003E141C">
      <w:pPr>
        <w:pStyle w:val="ListParagraph"/>
        <w:numPr>
          <w:ilvl w:val="0"/>
          <w:numId w:val="5"/>
        </w:numPr>
        <w:spacing w:line="360" w:lineRule="auto"/>
        <w:jc w:val="both"/>
        <w:rPr>
          <w:rFonts w:ascii="Times New Roman" w:hAnsi="Times New Roman" w:cs="Times New Roman"/>
          <w:b/>
          <w:bCs/>
          <w:color w:val="2D3B45"/>
          <w:sz w:val="24"/>
          <w:szCs w:val="24"/>
          <w:shd w:val="clear" w:color="auto" w:fill="FFFFFF"/>
        </w:rPr>
      </w:pPr>
      <w:r w:rsidRPr="000E2C25">
        <w:rPr>
          <w:rFonts w:ascii="Times New Roman" w:hAnsi="Times New Roman" w:cs="Times New Roman"/>
          <w:b/>
          <w:bCs/>
          <w:color w:val="2D3B45"/>
          <w:sz w:val="24"/>
          <w:szCs w:val="24"/>
          <w:shd w:val="clear" w:color="auto" w:fill="FFFFFF"/>
        </w:rPr>
        <w:t>Brief:</w:t>
      </w:r>
    </w:p>
    <w:p w14:paraId="5CD5AAA5" w14:textId="77777777" w:rsidR="003E141C" w:rsidRDefault="003E141C" w:rsidP="003E141C">
      <w:pPr>
        <w:pStyle w:val="ListParagraph"/>
        <w:spacing w:line="360" w:lineRule="auto"/>
        <w:ind w:left="927"/>
        <w:jc w:val="both"/>
        <w:rPr>
          <w:rFonts w:ascii="Times New Roman" w:hAnsi="Times New Roman" w:cs="Times New Roman"/>
          <w:b/>
          <w:bCs/>
          <w:color w:val="2D3B45"/>
          <w:sz w:val="24"/>
          <w:szCs w:val="24"/>
          <w:shd w:val="clear" w:color="auto" w:fill="FFFFFF"/>
        </w:rPr>
      </w:pPr>
    </w:p>
    <w:p w14:paraId="05129DE2" w14:textId="693A5186" w:rsidR="003E141C" w:rsidRPr="003E141C" w:rsidRDefault="003E141C" w:rsidP="003E141C">
      <w:pPr>
        <w:pStyle w:val="ListParagraph"/>
        <w:spacing w:line="360" w:lineRule="auto"/>
        <w:ind w:left="927"/>
        <w:jc w:val="both"/>
        <w:rPr>
          <w:rFonts w:ascii="Times New Roman" w:hAnsi="Times New Roman" w:cs="Times New Roman"/>
          <w:color w:val="2D3B45"/>
          <w:sz w:val="24"/>
          <w:szCs w:val="24"/>
          <w:shd w:val="clear" w:color="auto" w:fill="FFFFFF"/>
        </w:rPr>
      </w:pPr>
      <w:r w:rsidRPr="003E141C">
        <w:rPr>
          <w:rFonts w:ascii="Times New Roman" w:hAnsi="Times New Roman" w:cs="Times New Roman"/>
          <w:color w:val="2D3B45"/>
          <w:sz w:val="24"/>
          <w:szCs w:val="24"/>
          <w:shd w:val="clear" w:color="auto" w:fill="FFFFFF"/>
        </w:rPr>
        <w:t>The Federal Information Processing Standard (FIPS) Publication 140-2 is a US</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and Canadian government standard that specifies the security requirements for</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cryptographic modules that protect sensitive information. It requires use of FIPS</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140</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2 validated cryptographic modules when accessing AWS US East/West,</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AWS</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GovCloud (US), or AWS Canada (Central) through use of the command</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line interface</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(CLI) or programmatically by using the APIs, the following sections</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provide the list of available FIPS endpoints by AWS Region. The Amazon Virtual</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Private Cloud VPN endpoints in AWS GovCloud (US) operate using FIPS 140-2</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validated cryptographic modules. all AWS FIPS endpoints have been updated to</w:t>
      </w:r>
      <w:r>
        <w:rPr>
          <w:rFonts w:ascii="Times New Roman" w:hAnsi="Times New Roman" w:cs="Times New Roman"/>
          <w:color w:val="2D3B45"/>
          <w:sz w:val="24"/>
          <w:szCs w:val="24"/>
          <w:shd w:val="clear" w:color="auto" w:fill="FFFFFF"/>
        </w:rPr>
        <w:t xml:space="preserve"> </w:t>
      </w:r>
      <w:r w:rsidRPr="003E141C">
        <w:rPr>
          <w:rFonts w:ascii="Times New Roman" w:hAnsi="Times New Roman" w:cs="Times New Roman"/>
          <w:color w:val="2D3B45"/>
          <w:sz w:val="24"/>
          <w:szCs w:val="24"/>
          <w:shd w:val="clear" w:color="auto" w:fill="FFFFFF"/>
        </w:rPr>
        <w:t>only accept a minimum of Transport Layer Security (TLS) 1.2 connections.</w:t>
      </w:r>
    </w:p>
    <w:p w14:paraId="48C34E1D" w14:textId="77777777" w:rsidR="003E141C" w:rsidRDefault="003E141C" w:rsidP="003E141C">
      <w:pPr>
        <w:pStyle w:val="ListParagraph"/>
        <w:spacing w:line="360" w:lineRule="auto"/>
        <w:ind w:left="927"/>
        <w:jc w:val="both"/>
        <w:rPr>
          <w:rFonts w:ascii="Times New Roman" w:hAnsi="Times New Roman" w:cs="Times New Roman"/>
          <w:color w:val="2D3B45"/>
          <w:sz w:val="24"/>
          <w:szCs w:val="24"/>
          <w:shd w:val="clear" w:color="auto" w:fill="FFFFFF"/>
        </w:rPr>
      </w:pPr>
    </w:p>
    <w:p w14:paraId="363F9389" w14:textId="77777777" w:rsidR="003E141C" w:rsidRDefault="003E141C" w:rsidP="003E141C">
      <w:pPr>
        <w:pStyle w:val="ListParagraph"/>
        <w:numPr>
          <w:ilvl w:val="0"/>
          <w:numId w:val="5"/>
        </w:numPr>
        <w:spacing w:line="360" w:lineRule="auto"/>
        <w:jc w:val="both"/>
        <w:rPr>
          <w:rFonts w:ascii="Times New Roman" w:hAnsi="Times New Roman" w:cs="Times New Roman"/>
          <w:b/>
          <w:bCs/>
          <w:color w:val="2D3B45"/>
          <w:sz w:val="24"/>
          <w:szCs w:val="24"/>
          <w:shd w:val="clear" w:color="auto" w:fill="FFFFFF"/>
        </w:rPr>
      </w:pPr>
      <w:r w:rsidRPr="0057001A">
        <w:rPr>
          <w:rFonts w:ascii="Times New Roman" w:hAnsi="Times New Roman" w:cs="Times New Roman"/>
          <w:b/>
          <w:bCs/>
          <w:color w:val="2D3B45"/>
          <w:sz w:val="24"/>
          <w:szCs w:val="24"/>
          <w:shd w:val="clear" w:color="auto" w:fill="FFFFFF"/>
        </w:rPr>
        <w:t>Uses:</w:t>
      </w:r>
    </w:p>
    <w:p w14:paraId="400BBD98" w14:textId="77777777" w:rsidR="003E141C" w:rsidRDefault="003E141C" w:rsidP="003E141C">
      <w:pPr>
        <w:pStyle w:val="ListParagraph"/>
        <w:spacing w:line="360" w:lineRule="auto"/>
        <w:ind w:left="927"/>
        <w:jc w:val="both"/>
        <w:rPr>
          <w:rFonts w:ascii="Times New Roman" w:hAnsi="Times New Roman" w:cs="Times New Roman"/>
          <w:b/>
          <w:bCs/>
          <w:color w:val="2D3B45"/>
          <w:sz w:val="24"/>
          <w:szCs w:val="24"/>
          <w:shd w:val="clear" w:color="auto" w:fill="FFFFFF"/>
        </w:rPr>
      </w:pPr>
    </w:p>
    <w:p w14:paraId="6B948F14" w14:textId="355D48EC" w:rsidR="003E141C" w:rsidRDefault="003E141C" w:rsidP="00FD0007">
      <w:pPr>
        <w:pStyle w:val="NormalWeb"/>
        <w:numPr>
          <w:ilvl w:val="0"/>
          <w:numId w:val="11"/>
        </w:numPr>
        <w:spacing w:before="0" w:beforeAutospacing="0" w:after="0" w:afterAutospacing="0" w:line="360" w:lineRule="auto"/>
        <w:jc w:val="both"/>
      </w:pPr>
      <w:r>
        <w:t>FIPS are applied to the potential use case and align with the government data’s perceived value. The complying, or regulated party, then, must adhere to</w:t>
      </w:r>
      <w:r w:rsidR="00FD0007">
        <w:t xml:space="preserve"> </w:t>
      </w:r>
      <w:r>
        <w:t>standards used to handle government information. As the secrecy and sensitivity of government data rises from classified to (top) secret, the severity of the FIPS standard rises as it is applied to the persons, practices, and technologies in place to hold and transmit the data.</w:t>
      </w:r>
    </w:p>
    <w:p w14:paraId="248CE81A" w14:textId="77777777" w:rsidR="003E141C" w:rsidRDefault="003E141C" w:rsidP="003E141C">
      <w:pPr>
        <w:pStyle w:val="NormalWeb"/>
        <w:spacing w:before="0" w:beforeAutospacing="0" w:after="0" w:afterAutospacing="0" w:line="360" w:lineRule="auto"/>
        <w:ind w:left="1287"/>
      </w:pPr>
    </w:p>
    <w:p w14:paraId="296CEF34" w14:textId="5EC0F8BA" w:rsidR="003E141C" w:rsidRDefault="003E141C" w:rsidP="00FD0007">
      <w:pPr>
        <w:pStyle w:val="NormalWeb"/>
        <w:numPr>
          <w:ilvl w:val="0"/>
          <w:numId w:val="11"/>
        </w:numPr>
        <w:spacing w:before="0" w:beforeAutospacing="0" w:after="0" w:afterAutospacing="0" w:line="360" w:lineRule="auto"/>
        <w:jc w:val="both"/>
      </w:pPr>
      <w:r>
        <w:t>Among FIPS standards are ones that cover data encryption such as the Advanced Encryption Standard (AES), which is a FIPS standard.</w:t>
      </w:r>
    </w:p>
    <w:p w14:paraId="6B8D9D12" w14:textId="77777777" w:rsidR="002B24DE" w:rsidRDefault="002B24DE" w:rsidP="002B24DE">
      <w:pPr>
        <w:pStyle w:val="ListParagraph"/>
      </w:pPr>
    </w:p>
    <w:p w14:paraId="2C12E2A5" w14:textId="32CFA02B" w:rsidR="002B24DE" w:rsidRDefault="002B24DE" w:rsidP="002B24DE">
      <w:pPr>
        <w:pStyle w:val="NormalWeb"/>
        <w:spacing w:before="0" w:beforeAutospacing="0" w:after="0" w:afterAutospacing="0" w:line="360" w:lineRule="auto"/>
        <w:ind w:left="1287"/>
        <w:jc w:val="both"/>
      </w:pPr>
    </w:p>
    <w:p w14:paraId="6240695C" w14:textId="5C16E329" w:rsidR="002B24DE" w:rsidRDefault="002B24DE" w:rsidP="002B24DE">
      <w:pPr>
        <w:pStyle w:val="NormalWeb"/>
        <w:spacing w:before="0" w:beforeAutospacing="0" w:after="0" w:afterAutospacing="0" w:line="360" w:lineRule="auto"/>
        <w:ind w:left="1287"/>
        <w:jc w:val="both"/>
      </w:pPr>
    </w:p>
    <w:p w14:paraId="75157595" w14:textId="534CBF3A" w:rsidR="002B24DE" w:rsidRDefault="002B24DE" w:rsidP="002B24DE">
      <w:pPr>
        <w:pStyle w:val="NormalWeb"/>
        <w:spacing w:before="0" w:beforeAutospacing="0" w:after="0" w:afterAutospacing="0" w:line="360" w:lineRule="auto"/>
        <w:ind w:left="1287"/>
        <w:jc w:val="both"/>
      </w:pPr>
    </w:p>
    <w:p w14:paraId="4250F5B4" w14:textId="36EEC7DE" w:rsidR="002B24DE" w:rsidRDefault="002B24DE" w:rsidP="002B24DE">
      <w:pPr>
        <w:pStyle w:val="NormalWeb"/>
        <w:spacing w:before="0" w:beforeAutospacing="0" w:after="0" w:afterAutospacing="0" w:line="360" w:lineRule="auto"/>
        <w:ind w:left="1287"/>
        <w:jc w:val="both"/>
      </w:pPr>
    </w:p>
    <w:p w14:paraId="01766273" w14:textId="77777777" w:rsidR="002B24DE" w:rsidRDefault="002B24DE" w:rsidP="002B24DE">
      <w:pPr>
        <w:pStyle w:val="NormalWeb"/>
        <w:spacing w:before="0" w:beforeAutospacing="0" w:after="0" w:afterAutospacing="0" w:line="360" w:lineRule="auto"/>
        <w:ind w:left="1287"/>
        <w:jc w:val="both"/>
      </w:pPr>
    </w:p>
    <w:p w14:paraId="05C28AA7" w14:textId="77777777" w:rsidR="003E141C" w:rsidRDefault="003E141C" w:rsidP="003E141C">
      <w:pPr>
        <w:pStyle w:val="ListParagraph"/>
        <w:spacing w:line="360" w:lineRule="auto"/>
        <w:ind w:left="1287"/>
        <w:jc w:val="both"/>
        <w:rPr>
          <w:rFonts w:ascii="Times New Roman" w:hAnsi="Times New Roman" w:cs="Times New Roman"/>
          <w:color w:val="2D3B45"/>
          <w:sz w:val="24"/>
          <w:szCs w:val="24"/>
          <w:shd w:val="clear" w:color="auto" w:fill="FFFFFF"/>
        </w:rPr>
      </w:pPr>
    </w:p>
    <w:p w14:paraId="0CEC3205" w14:textId="2B5E4C29" w:rsidR="002B24DE" w:rsidRDefault="00082AEF" w:rsidP="00260B51">
      <w:pPr>
        <w:pStyle w:val="ListParagraph"/>
        <w:numPr>
          <w:ilvl w:val="0"/>
          <w:numId w:val="4"/>
        </w:numPr>
        <w:spacing w:line="360" w:lineRule="auto"/>
        <w:jc w:val="both"/>
        <w:rPr>
          <w:rFonts w:ascii="Times New Roman" w:hAnsi="Times New Roman" w:cs="Times New Roman"/>
          <w:b/>
          <w:bCs/>
          <w:color w:val="2D3B45"/>
          <w:sz w:val="28"/>
          <w:szCs w:val="28"/>
          <w:shd w:val="clear" w:color="auto" w:fill="FFFFFF"/>
        </w:rPr>
      </w:pPr>
      <w:r w:rsidRPr="00082AEF">
        <w:rPr>
          <w:rFonts w:ascii="Times New Roman" w:hAnsi="Times New Roman" w:cs="Times New Roman"/>
          <w:b/>
          <w:bCs/>
          <w:color w:val="2D3B45"/>
          <w:sz w:val="28"/>
          <w:szCs w:val="28"/>
          <w:shd w:val="clear" w:color="auto" w:fill="FFFFFF"/>
        </w:rPr>
        <w:lastRenderedPageBreak/>
        <w:t>SOC (System and Organization Controls):</w:t>
      </w:r>
    </w:p>
    <w:p w14:paraId="5B9C9CC1" w14:textId="77777777" w:rsidR="00082AEF" w:rsidRPr="00082AEF" w:rsidRDefault="00082AEF" w:rsidP="00082AEF">
      <w:pPr>
        <w:pStyle w:val="ListParagraph"/>
        <w:spacing w:line="360" w:lineRule="auto"/>
        <w:jc w:val="both"/>
        <w:rPr>
          <w:rFonts w:ascii="Times New Roman" w:hAnsi="Times New Roman" w:cs="Times New Roman"/>
          <w:b/>
          <w:bCs/>
          <w:color w:val="2D3B45"/>
          <w:sz w:val="28"/>
          <w:szCs w:val="28"/>
          <w:shd w:val="clear" w:color="auto" w:fill="FFFFFF"/>
        </w:rPr>
      </w:pPr>
    </w:p>
    <w:p w14:paraId="5C47AB14" w14:textId="77777777" w:rsidR="002B24DE" w:rsidRDefault="002B24DE" w:rsidP="002B24DE">
      <w:pPr>
        <w:pStyle w:val="ListParagraph"/>
        <w:numPr>
          <w:ilvl w:val="0"/>
          <w:numId w:val="5"/>
        </w:numPr>
        <w:spacing w:line="360" w:lineRule="auto"/>
        <w:jc w:val="both"/>
        <w:rPr>
          <w:rFonts w:ascii="Times New Roman" w:hAnsi="Times New Roman" w:cs="Times New Roman"/>
          <w:b/>
          <w:bCs/>
          <w:color w:val="2D3B45"/>
          <w:sz w:val="24"/>
          <w:szCs w:val="24"/>
          <w:shd w:val="clear" w:color="auto" w:fill="FFFFFF"/>
        </w:rPr>
      </w:pPr>
      <w:r w:rsidRPr="000E2C25">
        <w:rPr>
          <w:rFonts w:ascii="Times New Roman" w:hAnsi="Times New Roman" w:cs="Times New Roman"/>
          <w:b/>
          <w:bCs/>
          <w:color w:val="2D3B45"/>
          <w:sz w:val="24"/>
          <w:szCs w:val="24"/>
          <w:shd w:val="clear" w:color="auto" w:fill="FFFFFF"/>
        </w:rPr>
        <w:t>Brief:</w:t>
      </w:r>
    </w:p>
    <w:p w14:paraId="447B001F" w14:textId="77777777" w:rsidR="002B24DE" w:rsidRDefault="002B24DE" w:rsidP="002B24DE">
      <w:pPr>
        <w:pStyle w:val="ListParagraph"/>
        <w:spacing w:line="360" w:lineRule="auto"/>
        <w:ind w:left="927"/>
        <w:jc w:val="both"/>
        <w:rPr>
          <w:rFonts w:ascii="Times New Roman" w:hAnsi="Times New Roman" w:cs="Times New Roman"/>
          <w:b/>
          <w:bCs/>
          <w:color w:val="2D3B45"/>
          <w:sz w:val="24"/>
          <w:szCs w:val="24"/>
          <w:shd w:val="clear" w:color="auto" w:fill="FFFFFF"/>
        </w:rPr>
      </w:pPr>
    </w:p>
    <w:p w14:paraId="75D86457" w14:textId="77777777" w:rsidR="00082AEF" w:rsidRPr="00082AEF" w:rsidRDefault="00082AEF" w:rsidP="00082AEF">
      <w:pPr>
        <w:pStyle w:val="ListParagraph"/>
        <w:spacing w:line="360" w:lineRule="auto"/>
        <w:ind w:left="927"/>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AWS System and Organization Controls (SOC) Reports are independent third-</w:t>
      </w:r>
    </w:p>
    <w:p w14:paraId="098E6711" w14:textId="77777777" w:rsidR="00082AEF" w:rsidRPr="00082AEF" w:rsidRDefault="00082AEF" w:rsidP="00082AEF">
      <w:pPr>
        <w:pStyle w:val="ListParagraph"/>
        <w:spacing w:line="360" w:lineRule="auto"/>
        <w:ind w:left="927"/>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party examination reports that demonstrate how AWS achieves key compliance</w:t>
      </w:r>
    </w:p>
    <w:p w14:paraId="3714A003" w14:textId="77777777" w:rsidR="00082AEF" w:rsidRPr="00082AEF" w:rsidRDefault="00082AEF" w:rsidP="00082AEF">
      <w:pPr>
        <w:pStyle w:val="ListParagraph"/>
        <w:spacing w:line="360" w:lineRule="auto"/>
        <w:ind w:left="927"/>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controls and objectives. The purpose of these reports is to help you and your</w:t>
      </w:r>
    </w:p>
    <w:p w14:paraId="2D4B6CB5" w14:textId="77777777" w:rsidR="00082AEF" w:rsidRPr="00082AEF" w:rsidRDefault="00082AEF" w:rsidP="00082AEF">
      <w:pPr>
        <w:pStyle w:val="ListParagraph"/>
        <w:spacing w:line="360" w:lineRule="auto"/>
        <w:ind w:left="927"/>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auditors understand the AWS controls established to support operations and</w:t>
      </w:r>
    </w:p>
    <w:p w14:paraId="41961885" w14:textId="77777777" w:rsidR="00082AEF" w:rsidRPr="00082AEF" w:rsidRDefault="00082AEF" w:rsidP="00082AEF">
      <w:pPr>
        <w:pStyle w:val="ListParagraph"/>
        <w:spacing w:line="360" w:lineRule="auto"/>
        <w:ind w:left="927"/>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compliance. </w:t>
      </w:r>
    </w:p>
    <w:p w14:paraId="36378C12" w14:textId="77777777" w:rsidR="00082AEF" w:rsidRPr="00082AEF" w:rsidRDefault="00082AEF" w:rsidP="00082AEF">
      <w:pPr>
        <w:pStyle w:val="ListParagraph"/>
        <w:spacing w:line="360" w:lineRule="auto"/>
        <w:ind w:left="927"/>
        <w:jc w:val="both"/>
        <w:rPr>
          <w:rFonts w:ascii="Times New Roman" w:hAnsi="Times New Roman" w:cs="Times New Roman"/>
          <w:color w:val="2D3B45"/>
          <w:sz w:val="24"/>
          <w:szCs w:val="24"/>
          <w:shd w:val="clear" w:color="auto" w:fill="FFFFFF"/>
        </w:rPr>
      </w:pPr>
    </w:p>
    <w:p w14:paraId="157C83A9" w14:textId="267F56D3" w:rsidR="00082AEF" w:rsidRDefault="00082AEF" w:rsidP="00082AEF">
      <w:pPr>
        <w:pStyle w:val="ListParagraph"/>
        <w:numPr>
          <w:ilvl w:val="0"/>
          <w:numId w:val="12"/>
        </w:numPr>
        <w:spacing w:line="360" w:lineRule="auto"/>
        <w:jc w:val="both"/>
        <w:rPr>
          <w:rFonts w:ascii="Times New Roman" w:hAnsi="Times New Roman" w:cs="Times New Roman"/>
          <w:i/>
          <w:iCs/>
          <w:color w:val="2D3B45"/>
          <w:sz w:val="24"/>
          <w:szCs w:val="24"/>
          <w:shd w:val="clear" w:color="auto" w:fill="FFFFFF"/>
        </w:rPr>
      </w:pPr>
      <w:r w:rsidRPr="00082AEF">
        <w:rPr>
          <w:rFonts w:ascii="Times New Roman" w:hAnsi="Times New Roman" w:cs="Times New Roman"/>
          <w:i/>
          <w:iCs/>
          <w:color w:val="2D3B45"/>
          <w:sz w:val="24"/>
          <w:szCs w:val="24"/>
          <w:shd w:val="clear" w:color="auto" w:fill="FFFFFF"/>
        </w:rPr>
        <w:t>AWS SOC 1 (Formerly SSAE 16/ISAE 3402):</w:t>
      </w:r>
    </w:p>
    <w:p w14:paraId="7E32A614" w14:textId="77777777" w:rsidR="00082AEF" w:rsidRPr="00082AEF" w:rsidRDefault="00082AEF" w:rsidP="00082AEF">
      <w:pPr>
        <w:pStyle w:val="ListParagraph"/>
        <w:spacing w:line="360" w:lineRule="auto"/>
        <w:ind w:left="1210"/>
        <w:jc w:val="both"/>
        <w:rPr>
          <w:rFonts w:ascii="Times New Roman" w:hAnsi="Times New Roman" w:cs="Times New Roman"/>
          <w:i/>
          <w:iCs/>
          <w:color w:val="2D3B45"/>
          <w:sz w:val="24"/>
          <w:szCs w:val="24"/>
          <w:shd w:val="clear" w:color="auto" w:fill="FFFFFF"/>
        </w:rPr>
      </w:pPr>
    </w:p>
    <w:p w14:paraId="449978E5" w14:textId="00A3583B" w:rsidR="00082AEF" w:rsidRPr="00082AEF" w:rsidRDefault="00082AEF" w:rsidP="00082AEF">
      <w:pPr>
        <w:pStyle w:val="ListParagraph"/>
        <w:spacing w:line="360" w:lineRule="auto"/>
        <w:ind w:left="1210"/>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The AWS SOC 1 report focuses on AWS’s processes and controls relevant to</w:t>
      </w:r>
    </w:p>
    <w:p w14:paraId="4EBFCC9F" w14:textId="77777777" w:rsidR="00082AEF" w:rsidRPr="00082AEF" w:rsidRDefault="00082AEF" w:rsidP="00082AEF">
      <w:pPr>
        <w:pStyle w:val="ListParagraph"/>
        <w:spacing w:line="360" w:lineRule="auto"/>
        <w:ind w:left="1210"/>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our customers’ financial reporting. Many AWS customers use the AWS SOC 1</w:t>
      </w:r>
    </w:p>
    <w:p w14:paraId="2F19CB07" w14:textId="77777777" w:rsidR="00082AEF" w:rsidRPr="00082AEF" w:rsidRDefault="00082AEF" w:rsidP="00082AEF">
      <w:pPr>
        <w:pStyle w:val="ListParagraph"/>
        <w:spacing w:line="360" w:lineRule="auto"/>
        <w:ind w:left="1210"/>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as an integral part of their Sarbanes-Oxley efforts and other security and</w:t>
      </w:r>
    </w:p>
    <w:p w14:paraId="0B8E882A" w14:textId="77777777" w:rsidR="00082AEF" w:rsidRPr="00082AEF" w:rsidRDefault="00082AEF" w:rsidP="00082AEF">
      <w:pPr>
        <w:pStyle w:val="ListParagraph"/>
        <w:spacing w:line="360" w:lineRule="auto"/>
        <w:ind w:left="1210"/>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compliance initiatives where key controls operated by AWS are evaluated and</w:t>
      </w:r>
    </w:p>
    <w:p w14:paraId="760A64B5" w14:textId="242645D3" w:rsidR="00082AEF" w:rsidRDefault="00082AEF" w:rsidP="00082AEF">
      <w:pPr>
        <w:pStyle w:val="ListParagraph"/>
        <w:tabs>
          <w:tab w:val="left" w:pos="3083"/>
        </w:tabs>
        <w:spacing w:line="360" w:lineRule="auto"/>
        <w:ind w:left="1210"/>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validated.</w:t>
      </w:r>
      <w:r>
        <w:rPr>
          <w:rFonts w:ascii="Times New Roman" w:hAnsi="Times New Roman" w:cs="Times New Roman"/>
          <w:color w:val="2D3B45"/>
          <w:sz w:val="24"/>
          <w:szCs w:val="24"/>
          <w:shd w:val="clear" w:color="auto" w:fill="FFFFFF"/>
        </w:rPr>
        <w:tab/>
      </w:r>
    </w:p>
    <w:p w14:paraId="6B517F99" w14:textId="77777777" w:rsidR="00082AEF" w:rsidRPr="00082AEF" w:rsidRDefault="00082AEF" w:rsidP="00082AEF">
      <w:pPr>
        <w:pStyle w:val="ListParagraph"/>
        <w:tabs>
          <w:tab w:val="left" w:pos="3083"/>
        </w:tabs>
        <w:spacing w:line="360" w:lineRule="auto"/>
        <w:ind w:left="1210"/>
        <w:jc w:val="both"/>
        <w:rPr>
          <w:rFonts w:ascii="Times New Roman" w:hAnsi="Times New Roman" w:cs="Times New Roman"/>
          <w:color w:val="2D3B45"/>
          <w:sz w:val="24"/>
          <w:szCs w:val="24"/>
          <w:shd w:val="clear" w:color="auto" w:fill="FFFFFF"/>
        </w:rPr>
      </w:pPr>
    </w:p>
    <w:p w14:paraId="07C66F77" w14:textId="5ABD0776" w:rsidR="00082AEF" w:rsidRPr="00082AEF" w:rsidRDefault="00082AEF" w:rsidP="00082AEF">
      <w:pPr>
        <w:pStyle w:val="ListParagraph"/>
        <w:numPr>
          <w:ilvl w:val="0"/>
          <w:numId w:val="12"/>
        </w:numPr>
        <w:spacing w:line="360" w:lineRule="auto"/>
        <w:jc w:val="both"/>
        <w:rPr>
          <w:rFonts w:ascii="Times New Roman" w:hAnsi="Times New Roman" w:cs="Times New Roman"/>
          <w:i/>
          <w:iCs/>
          <w:color w:val="2D3B45"/>
          <w:sz w:val="24"/>
          <w:szCs w:val="24"/>
          <w:shd w:val="clear" w:color="auto" w:fill="FFFFFF"/>
        </w:rPr>
      </w:pPr>
      <w:r w:rsidRPr="00082AEF">
        <w:rPr>
          <w:rFonts w:ascii="Times New Roman" w:hAnsi="Times New Roman" w:cs="Times New Roman"/>
          <w:i/>
          <w:iCs/>
          <w:color w:val="2D3B45"/>
          <w:sz w:val="24"/>
          <w:szCs w:val="24"/>
          <w:shd w:val="clear" w:color="auto" w:fill="FFFFFF"/>
        </w:rPr>
        <w:t>AWS SOC 2 – Security &amp;amp; Availability:</w:t>
      </w:r>
    </w:p>
    <w:p w14:paraId="20D4179B" w14:textId="77777777" w:rsidR="00082AEF" w:rsidRPr="00082AEF" w:rsidRDefault="00082AEF" w:rsidP="00082AEF">
      <w:pPr>
        <w:pStyle w:val="ListParagraph"/>
        <w:spacing w:line="360" w:lineRule="auto"/>
        <w:ind w:left="1440"/>
        <w:jc w:val="both"/>
        <w:rPr>
          <w:rFonts w:ascii="Times New Roman" w:hAnsi="Times New Roman" w:cs="Times New Roman"/>
          <w:color w:val="2D3B45"/>
          <w:sz w:val="24"/>
          <w:szCs w:val="24"/>
          <w:shd w:val="clear" w:color="auto" w:fill="FFFFFF"/>
        </w:rPr>
      </w:pPr>
    </w:p>
    <w:p w14:paraId="7FFE6493" w14:textId="55AC1AB9" w:rsidR="00082AEF" w:rsidRPr="00082AEF" w:rsidRDefault="00082AEF" w:rsidP="00082AEF">
      <w:pPr>
        <w:pStyle w:val="ListParagraph"/>
        <w:spacing w:line="360" w:lineRule="auto"/>
        <w:ind w:left="1157"/>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The AWS SOC 2 report focuses on the security and availability controls, as</w:t>
      </w:r>
      <w:r>
        <w:rPr>
          <w:rFonts w:ascii="Times New Roman" w:hAnsi="Times New Roman" w:cs="Times New Roman"/>
          <w:color w:val="2D3B45"/>
          <w:sz w:val="24"/>
          <w:szCs w:val="24"/>
          <w:shd w:val="clear" w:color="auto" w:fill="FFFFFF"/>
        </w:rPr>
        <w:t xml:space="preserve"> </w:t>
      </w:r>
      <w:r w:rsidRPr="00082AEF">
        <w:rPr>
          <w:rFonts w:ascii="Times New Roman" w:hAnsi="Times New Roman" w:cs="Times New Roman"/>
          <w:color w:val="2D3B45"/>
          <w:sz w:val="24"/>
          <w:szCs w:val="24"/>
          <w:shd w:val="clear" w:color="auto" w:fill="FFFFFF"/>
        </w:rPr>
        <w:t>defined by the American Institute of Certified Public Accountants</w:t>
      </w:r>
      <w:r>
        <w:rPr>
          <w:rFonts w:ascii="Times New Roman" w:hAnsi="Times New Roman" w:cs="Times New Roman"/>
          <w:color w:val="2D3B45"/>
          <w:sz w:val="24"/>
          <w:szCs w:val="24"/>
          <w:shd w:val="clear" w:color="auto" w:fill="FFFFFF"/>
        </w:rPr>
        <w:t xml:space="preserve"> </w:t>
      </w:r>
      <w:r w:rsidRPr="00082AEF">
        <w:rPr>
          <w:rFonts w:ascii="Times New Roman" w:hAnsi="Times New Roman" w:cs="Times New Roman"/>
          <w:color w:val="2D3B45"/>
          <w:sz w:val="24"/>
          <w:szCs w:val="24"/>
          <w:shd w:val="clear" w:color="auto" w:fill="FFFFFF"/>
        </w:rPr>
        <w:t>(AICPA) Security Trust Principles, operated by AWS. This report is leveraged</w:t>
      </w:r>
      <w:r>
        <w:rPr>
          <w:rFonts w:ascii="Times New Roman" w:hAnsi="Times New Roman" w:cs="Times New Roman"/>
          <w:color w:val="2D3B45"/>
          <w:sz w:val="24"/>
          <w:szCs w:val="24"/>
          <w:shd w:val="clear" w:color="auto" w:fill="FFFFFF"/>
        </w:rPr>
        <w:t xml:space="preserve"> </w:t>
      </w:r>
      <w:r w:rsidRPr="00082AEF">
        <w:rPr>
          <w:rFonts w:ascii="Times New Roman" w:hAnsi="Times New Roman" w:cs="Times New Roman"/>
          <w:color w:val="2D3B45"/>
          <w:sz w:val="24"/>
          <w:szCs w:val="24"/>
          <w:shd w:val="clear" w:color="auto" w:fill="FFFFFF"/>
        </w:rPr>
        <w:t>by a wide range of AWS customers, including but not limited to customers in</w:t>
      </w:r>
      <w:r>
        <w:rPr>
          <w:rFonts w:ascii="Times New Roman" w:hAnsi="Times New Roman" w:cs="Times New Roman"/>
          <w:color w:val="2D3B45"/>
          <w:sz w:val="24"/>
          <w:szCs w:val="24"/>
          <w:shd w:val="clear" w:color="auto" w:fill="FFFFFF"/>
        </w:rPr>
        <w:t xml:space="preserve"> </w:t>
      </w:r>
      <w:r w:rsidRPr="00082AEF">
        <w:rPr>
          <w:rFonts w:ascii="Times New Roman" w:hAnsi="Times New Roman" w:cs="Times New Roman"/>
          <w:color w:val="2D3B45"/>
          <w:sz w:val="24"/>
          <w:szCs w:val="24"/>
          <w:shd w:val="clear" w:color="auto" w:fill="FFFFFF"/>
        </w:rPr>
        <w:t>the technology, healthcare, banking, and financial services industries. This</w:t>
      </w:r>
      <w:r>
        <w:rPr>
          <w:rFonts w:ascii="Times New Roman" w:hAnsi="Times New Roman" w:cs="Times New Roman"/>
          <w:color w:val="2D3B45"/>
          <w:sz w:val="24"/>
          <w:szCs w:val="24"/>
          <w:shd w:val="clear" w:color="auto" w:fill="FFFFFF"/>
        </w:rPr>
        <w:t xml:space="preserve"> </w:t>
      </w:r>
      <w:r w:rsidRPr="00082AEF">
        <w:rPr>
          <w:rFonts w:ascii="Times New Roman" w:hAnsi="Times New Roman" w:cs="Times New Roman"/>
          <w:color w:val="2D3B45"/>
          <w:sz w:val="24"/>
          <w:szCs w:val="24"/>
          <w:shd w:val="clear" w:color="auto" w:fill="FFFFFF"/>
        </w:rPr>
        <w:t>report is leveraged to meet a wide range of security control and compliance</w:t>
      </w:r>
      <w:r>
        <w:rPr>
          <w:rFonts w:ascii="Times New Roman" w:hAnsi="Times New Roman" w:cs="Times New Roman"/>
          <w:color w:val="2D3B45"/>
          <w:sz w:val="24"/>
          <w:szCs w:val="24"/>
          <w:shd w:val="clear" w:color="auto" w:fill="FFFFFF"/>
        </w:rPr>
        <w:t xml:space="preserve"> </w:t>
      </w:r>
      <w:r w:rsidRPr="00082AEF">
        <w:rPr>
          <w:rFonts w:ascii="Times New Roman" w:hAnsi="Times New Roman" w:cs="Times New Roman"/>
          <w:color w:val="2D3B45"/>
          <w:sz w:val="24"/>
          <w:szCs w:val="24"/>
          <w:shd w:val="clear" w:color="auto" w:fill="FFFFFF"/>
        </w:rPr>
        <w:t>requirements based on the AICPA’s mature industry control criteria.</w:t>
      </w:r>
    </w:p>
    <w:p w14:paraId="69385002" w14:textId="77777777" w:rsidR="00082AEF" w:rsidRDefault="00082AEF" w:rsidP="00082AEF">
      <w:pPr>
        <w:pStyle w:val="ListParagraph"/>
        <w:spacing w:line="360" w:lineRule="auto"/>
        <w:ind w:left="927"/>
        <w:jc w:val="both"/>
        <w:rPr>
          <w:rFonts w:ascii="Times New Roman" w:hAnsi="Times New Roman" w:cs="Times New Roman"/>
          <w:color w:val="2D3B45"/>
          <w:sz w:val="24"/>
          <w:szCs w:val="24"/>
          <w:shd w:val="clear" w:color="auto" w:fill="FFFFFF"/>
        </w:rPr>
      </w:pPr>
    </w:p>
    <w:p w14:paraId="5D65596E" w14:textId="2F3A4365" w:rsidR="00082AEF" w:rsidRPr="00082AEF" w:rsidRDefault="00082AEF" w:rsidP="00082AEF">
      <w:pPr>
        <w:pStyle w:val="ListParagraph"/>
        <w:numPr>
          <w:ilvl w:val="0"/>
          <w:numId w:val="12"/>
        </w:numPr>
        <w:spacing w:line="360" w:lineRule="auto"/>
        <w:jc w:val="both"/>
        <w:rPr>
          <w:rFonts w:ascii="Times New Roman" w:hAnsi="Times New Roman" w:cs="Times New Roman"/>
          <w:i/>
          <w:iCs/>
          <w:color w:val="2D3B45"/>
          <w:sz w:val="24"/>
          <w:szCs w:val="24"/>
          <w:shd w:val="clear" w:color="auto" w:fill="FFFFFF"/>
        </w:rPr>
      </w:pPr>
      <w:r w:rsidRPr="00082AEF">
        <w:rPr>
          <w:rFonts w:ascii="Times New Roman" w:hAnsi="Times New Roman" w:cs="Times New Roman"/>
          <w:i/>
          <w:iCs/>
          <w:color w:val="2D3B45"/>
          <w:sz w:val="24"/>
          <w:szCs w:val="24"/>
          <w:shd w:val="clear" w:color="auto" w:fill="FFFFFF"/>
        </w:rPr>
        <w:t>AWS SOC 3 – Security &amp;amp; Availability:</w:t>
      </w:r>
    </w:p>
    <w:p w14:paraId="5C09C5A8" w14:textId="77777777" w:rsidR="00082AEF" w:rsidRDefault="00082AEF" w:rsidP="00082AEF">
      <w:pPr>
        <w:pStyle w:val="ListParagraph"/>
        <w:spacing w:line="360" w:lineRule="auto"/>
        <w:ind w:left="927"/>
        <w:jc w:val="both"/>
        <w:rPr>
          <w:rFonts w:ascii="Times New Roman" w:hAnsi="Times New Roman" w:cs="Times New Roman"/>
          <w:color w:val="2D3B45"/>
          <w:sz w:val="24"/>
          <w:szCs w:val="24"/>
          <w:shd w:val="clear" w:color="auto" w:fill="FFFFFF"/>
        </w:rPr>
      </w:pPr>
    </w:p>
    <w:p w14:paraId="1E208B60" w14:textId="09E310BD" w:rsidR="002B24DE" w:rsidRPr="00082AEF" w:rsidRDefault="00082AEF" w:rsidP="00082AEF">
      <w:pPr>
        <w:pStyle w:val="ListParagraph"/>
        <w:spacing w:line="360" w:lineRule="auto"/>
        <w:ind w:left="1210"/>
        <w:jc w:val="both"/>
        <w:rPr>
          <w:rFonts w:ascii="Times New Roman" w:hAnsi="Times New Roman" w:cs="Times New Roman"/>
          <w:color w:val="2D3B45"/>
          <w:sz w:val="24"/>
          <w:szCs w:val="24"/>
          <w:shd w:val="clear" w:color="auto" w:fill="FFFFFF"/>
        </w:rPr>
      </w:pPr>
      <w:r w:rsidRPr="00082AEF">
        <w:rPr>
          <w:rFonts w:ascii="Times New Roman" w:hAnsi="Times New Roman" w:cs="Times New Roman"/>
          <w:color w:val="2D3B45"/>
          <w:sz w:val="24"/>
          <w:szCs w:val="24"/>
          <w:shd w:val="clear" w:color="auto" w:fill="FFFFFF"/>
        </w:rPr>
        <w:t>The SOC 3 report is a public report. It is a summarized version of the SOC 2</w:t>
      </w:r>
      <w:r>
        <w:rPr>
          <w:rFonts w:ascii="Times New Roman" w:hAnsi="Times New Roman" w:cs="Times New Roman"/>
          <w:color w:val="2D3B45"/>
          <w:sz w:val="24"/>
          <w:szCs w:val="24"/>
          <w:shd w:val="clear" w:color="auto" w:fill="FFFFFF"/>
        </w:rPr>
        <w:t xml:space="preserve"> </w:t>
      </w:r>
      <w:r w:rsidRPr="00082AEF">
        <w:rPr>
          <w:rFonts w:ascii="Times New Roman" w:hAnsi="Times New Roman" w:cs="Times New Roman"/>
          <w:color w:val="2D3B45"/>
          <w:sz w:val="24"/>
          <w:szCs w:val="24"/>
          <w:shd w:val="clear" w:color="auto" w:fill="FFFFFF"/>
        </w:rPr>
        <w:t xml:space="preserve">report and enables you to validate that AWS has completed a </w:t>
      </w:r>
      <w:r w:rsidRPr="00082AEF">
        <w:rPr>
          <w:rFonts w:ascii="Times New Roman" w:hAnsi="Times New Roman" w:cs="Times New Roman"/>
          <w:color w:val="2D3B45"/>
          <w:sz w:val="24"/>
          <w:szCs w:val="24"/>
          <w:shd w:val="clear" w:color="auto" w:fill="FFFFFF"/>
        </w:rPr>
        <w:t>favourable</w:t>
      </w:r>
      <w:r>
        <w:rPr>
          <w:rFonts w:ascii="Times New Roman" w:hAnsi="Times New Roman" w:cs="Times New Roman"/>
          <w:color w:val="2D3B45"/>
          <w:sz w:val="24"/>
          <w:szCs w:val="24"/>
          <w:shd w:val="clear" w:color="auto" w:fill="FFFFFF"/>
        </w:rPr>
        <w:t xml:space="preserve"> </w:t>
      </w:r>
      <w:r w:rsidRPr="00082AEF">
        <w:rPr>
          <w:rFonts w:ascii="Times New Roman" w:hAnsi="Times New Roman" w:cs="Times New Roman"/>
          <w:color w:val="2D3B45"/>
          <w:sz w:val="24"/>
          <w:szCs w:val="24"/>
          <w:shd w:val="clear" w:color="auto" w:fill="FFFFFF"/>
        </w:rPr>
        <w:t>independent audit against the AICPA’s Security Trust Principles.</w:t>
      </w:r>
    </w:p>
    <w:p w14:paraId="60A5BE39" w14:textId="6DC747FA" w:rsidR="002B24DE" w:rsidRPr="00082AEF" w:rsidRDefault="002B24DE" w:rsidP="00082AEF">
      <w:pPr>
        <w:pStyle w:val="ListParagraph"/>
        <w:numPr>
          <w:ilvl w:val="0"/>
          <w:numId w:val="5"/>
        </w:numPr>
        <w:spacing w:line="360" w:lineRule="auto"/>
        <w:jc w:val="both"/>
        <w:rPr>
          <w:rFonts w:ascii="Times New Roman" w:hAnsi="Times New Roman" w:cs="Times New Roman"/>
          <w:b/>
          <w:bCs/>
          <w:color w:val="2D3B45"/>
          <w:sz w:val="24"/>
          <w:szCs w:val="24"/>
          <w:shd w:val="clear" w:color="auto" w:fill="FFFFFF"/>
        </w:rPr>
      </w:pPr>
      <w:r w:rsidRPr="0057001A">
        <w:rPr>
          <w:rFonts w:ascii="Times New Roman" w:hAnsi="Times New Roman" w:cs="Times New Roman"/>
          <w:b/>
          <w:bCs/>
          <w:color w:val="2D3B45"/>
          <w:sz w:val="24"/>
          <w:szCs w:val="24"/>
          <w:shd w:val="clear" w:color="auto" w:fill="FFFFFF"/>
        </w:rPr>
        <w:lastRenderedPageBreak/>
        <w:t>Uses:</w:t>
      </w:r>
    </w:p>
    <w:p w14:paraId="27A144C4" w14:textId="77777777" w:rsidR="00082AEF" w:rsidRPr="00082AEF" w:rsidRDefault="00082AEF" w:rsidP="00082AEF">
      <w:pPr>
        <w:numPr>
          <w:ilvl w:val="0"/>
          <w:numId w:val="13"/>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Security</w:t>
      </w:r>
    </w:p>
    <w:p w14:paraId="7649024A" w14:textId="20CF4238" w:rsidR="00082AEF" w:rsidRPr="00082AEF" w:rsidRDefault="00082AEF" w:rsidP="00082AEF">
      <w:p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Firewalls</w:t>
      </w: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Intrusion detection</w:t>
      </w:r>
      <w:r w:rsidRPr="00082AEF">
        <w:rPr>
          <w:rFonts w:ascii="Times New Roman" w:eastAsia="Times New Roman" w:hAnsi="Times New Roman" w:cs="Times New Roman"/>
          <w:color w:val="202122"/>
          <w:sz w:val="24"/>
          <w:szCs w:val="24"/>
          <w:lang w:eastAsia="en-IN"/>
        </w:rPr>
        <w:t>, multi-factor</w:t>
      </w:r>
      <w:r w:rsidRPr="00082AEF">
        <w:rPr>
          <w:rFonts w:ascii="Times New Roman" w:eastAsia="Times New Roman" w:hAnsi="Times New Roman" w:cs="Times New Roman"/>
          <w:color w:val="202122"/>
          <w:sz w:val="24"/>
          <w:szCs w:val="24"/>
          <w:lang w:eastAsia="en-IN"/>
        </w:rPr>
        <w:t xml:space="preserve"> authentication</w:t>
      </w:r>
    </w:p>
    <w:p w14:paraId="257EE9D2" w14:textId="77777777" w:rsidR="00082AEF" w:rsidRPr="00082AEF" w:rsidRDefault="00082AEF" w:rsidP="00082AEF">
      <w:pPr>
        <w:numPr>
          <w:ilvl w:val="0"/>
          <w:numId w:val="13"/>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Availability</w:t>
      </w:r>
    </w:p>
    <w:p w14:paraId="6C597D58" w14:textId="71308741" w:rsidR="00082AEF" w:rsidRPr="00082AEF" w:rsidRDefault="00082AEF" w:rsidP="00082AEF">
      <w:p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Performance monitoring</w:t>
      </w: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Disaster recovery</w:t>
      </w: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Incident handling</w:t>
      </w:r>
    </w:p>
    <w:p w14:paraId="402A9C05" w14:textId="77777777" w:rsidR="00082AEF" w:rsidRPr="00082AEF" w:rsidRDefault="00082AEF" w:rsidP="00082AEF">
      <w:pPr>
        <w:numPr>
          <w:ilvl w:val="0"/>
          <w:numId w:val="13"/>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Confidentiality</w:t>
      </w:r>
    </w:p>
    <w:p w14:paraId="198AEB0F" w14:textId="356E56E4" w:rsidR="00082AEF" w:rsidRPr="00082AEF" w:rsidRDefault="00082AEF" w:rsidP="00082AEF">
      <w:p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Encryption</w:t>
      </w: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Access controls</w:t>
      </w: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Firewalls</w:t>
      </w:r>
    </w:p>
    <w:p w14:paraId="016857D9" w14:textId="77777777" w:rsidR="00082AEF" w:rsidRPr="00082AEF" w:rsidRDefault="00082AEF" w:rsidP="00082AEF">
      <w:pPr>
        <w:numPr>
          <w:ilvl w:val="0"/>
          <w:numId w:val="13"/>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Processing Integrity</w:t>
      </w:r>
    </w:p>
    <w:p w14:paraId="3DC68652" w14:textId="6643D3EA" w:rsidR="00082AEF" w:rsidRPr="00082AEF" w:rsidRDefault="00082AEF" w:rsidP="00082AEF">
      <w:pPr>
        <w:shd w:val="clear" w:color="auto" w:fill="FFFFFF"/>
        <w:spacing w:before="100" w:beforeAutospacing="1" w:after="24" w:line="240" w:lineRule="auto"/>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Quality assurance</w:t>
      </w: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Process monitoring</w:t>
      </w:r>
    </w:p>
    <w:p w14:paraId="082F6B75" w14:textId="77777777" w:rsidR="00082AEF" w:rsidRPr="00082AEF" w:rsidRDefault="00082AEF" w:rsidP="00082AEF">
      <w:pPr>
        <w:numPr>
          <w:ilvl w:val="0"/>
          <w:numId w:val="13"/>
        </w:num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Privacy</w:t>
      </w:r>
    </w:p>
    <w:p w14:paraId="6A8130A9" w14:textId="5A7DA27B" w:rsidR="00082AEF" w:rsidRPr="00082AEF" w:rsidRDefault="00082AEF" w:rsidP="00082AEF">
      <w:pPr>
        <w:shd w:val="clear" w:color="auto" w:fill="FFFFFF"/>
        <w:spacing w:before="100" w:beforeAutospacing="1" w:after="24" w:line="240" w:lineRule="auto"/>
        <w:ind w:left="1488"/>
        <w:rPr>
          <w:rFonts w:ascii="Times New Roman" w:eastAsia="Times New Roman" w:hAnsi="Times New Roman" w:cs="Times New Roman"/>
          <w:color w:val="202122"/>
          <w:sz w:val="24"/>
          <w:szCs w:val="24"/>
          <w:lang w:eastAsia="en-IN"/>
        </w:rPr>
      </w:pPr>
      <w:r w:rsidRPr="00082AEF">
        <w:rPr>
          <w:rFonts w:ascii="Times New Roman" w:eastAsia="Times New Roman" w:hAnsi="Times New Roman" w:cs="Times New Roman"/>
          <w:color w:val="202122"/>
          <w:sz w:val="24"/>
          <w:szCs w:val="24"/>
          <w:lang w:eastAsia="en-IN"/>
        </w:rPr>
        <w:t>Access Control</w:t>
      </w: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Multi-factor authentication</w:t>
      </w:r>
      <w:r w:rsidRPr="00082AEF">
        <w:rPr>
          <w:rFonts w:ascii="Times New Roman" w:eastAsia="Times New Roman" w:hAnsi="Times New Roman" w:cs="Times New Roman"/>
          <w:color w:val="202122"/>
          <w:sz w:val="24"/>
          <w:szCs w:val="24"/>
          <w:lang w:eastAsia="en-IN"/>
        </w:rPr>
        <w:t xml:space="preserve">, </w:t>
      </w:r>
      <w:r w:rsidRPr="00082AEF">
        <w:rPr>
          <w:rFonts w:ascii="Times New Roman" w:eastAsia="Times New Roman" w:hAnsi="Times New Roman" w:cs="Times New Roman"/>
          <w:color w:val="202122"/>
          <w:sz w:val="24"/>
          <w:szCs w:val="24"/>
          <w:lang w:eastAsia="en-IN"/>
        </w:rPr>
        <w:t>Encryption</w:t>
      </w:r>
    </w:p>
    <w:p w14:paraId="75EEA1C5" w14:textId="77777777" w:rsidR="002B24DE" w:rsidRDefault="002B24DE" w:rsidP="002B24DE">
      <w:pPr>
        <w:pStyle w:val="ListParagraph"/>
        <w:spacing w:line="360" w:lineRule="auto"/>
        <w:ind w:left="1287"/>
        <w:jc w:val="both"/>
        <w:rPr>
          <w:rFonts w:ascii="Times New Roman" w:hAnsi="Times New Roman" w:cs="Times New Roman"/>
          <w:color w:val="2D3B45"/>
          <w:sz w:val="24"/>
          <w:szCs w:val="24"/>
          <w:shd w:val="clear" w:color="auto" w:fill="FFFFFF"/>
        </w:rPr>
      </w:pPr>
    </w:p>
    <w:p w14:paraId="157807BB" w14:textId="77777777" w:rsidR="003E141C" w:rsidRPr="001A6252" w:rsidRDefault="003E141C" w:rsidP="003E141C">
      <w:pPr>
        <w:pStyle w:val="ListParagraph"/>
        <w:spacing w:line="360" w:lineRule="auto"/>
        <w:ind w:left="1287"/>
        <w:jc w:val="both"/>
        <w:rPr>
          <w:rFonts w:ascii="Times New Roman" w:hAnsi="Times New Roman" w:cs="Times New Roman"/>
          <w:b/>
          <w:bCs/>
          <w:color w:val="2D3B45"/>
          <w:sz w:val="24"/>
          <w:szCs w:val="24"/>
          <w:shd w:val="clear" w:color="auto" w:fill="FFFFFF"/>
        </w:rPr>
      </w:pPr>
    </w:p>
    <w:sectPr w:rsidR="003E141C" w:rsidRPr="001A62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FC00" w14:textId="77777777" w:rsidR="00392861" w:rsidRDefault="00392861" w:rsidP="0057001A">
      <w:pPr>
        <w:spacing w:after="0" w:line="240" w:lineRule="auto"/>
      </w:pPr>
      <w:r>
        <w:separator/>
      </w:r>
    </w:p>
  </w:endnote>
  <w:endnote w:type="continuationSeparator" w:id="0">
    <w:p w14:paraId="732BB78F" w14:textId="77777777" w:rsidR="00392861" w:rsidRDefault="00392861" w:rsidP="0057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09895"/>
      <w:docPartObj>
        <w:docPartGallery w:val="Page Numbers (Bottom of Page)"/>
        <w:docPartUnique/>
      </w:docPartObj>
    </w:sdtPr>
    <w:sdtEndPr>
      <w:rPr>
        <w:color w:val="7F7F7F" w:themeColor="background1" w:themeShade="7F"/>
        <w:spacing w:val="60"/>
      </w:rPr>
    </w:sdtEndPr>
    <w:sdtContent>
      <w:p w14:paraId="5CB9F334" w14:textId="67BD1BB4" w:rsidR="003E141C" w:rsidRDefault="003E14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4C0AE1" w14:textId="77777777" w:rsidR="003E141C" w:rsidRDefault="003E1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AE63" w14:textId="77777777" w:rsidR="00392861" w:rsidRDefault="00392861" w:rsidP="0057001A">
      <w:pPr>
        <w:spacing w:after="0" w:line="240" w:lineRule="auto"/>
      </w:pPr>
      <w:r>
        <w:separator/>
      </w:r>
    </w:p>
  </w:footnote>
  <w:footnote w:type="continuationSeparator" w:id="0">
    <w:p w14:paraId="54F2682D" w14:textId="77777777" w:rsidR="00392861" w:rsidRDefault="00392861" w:rsidP="00570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6610"/>
    <w:multiLevelType w:val="hybridMultilevel"/>
    <w:tmpl w:val="1D26BF4C"/>
    <w:lvl w:ilvl="0" w:tplc="792C10CE">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188C6FFD"/>
    <w:multiLevelType w:val="hybridMultilevel"/>
    <w:tmpl w:val="AB7AEB4C"/>
    <w:lvl w:ilvl="0" w:tplc="8F8C8F2A">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 w15:restartNumberingAfterBreak="0">
    <w:nsid w:val="1CB75B80"/>
    <w:multiLevelType w:val="hybridMultilevel"/>
    <w:tmpl w:val="26945892"/>
    <w:lvl w:ilvl="0" w:tplc="542A3C84">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27D439DF"/>
    <w:multiLevelType w:val="hybridMultilevel"/>
    <w:tmpl w:val="ECD64D7E"/>
    <w:lvl w:ilvl="0" w:tplc="40A68B5C">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 w15:restartNumberingAfterBreak="0">
    <w:nsid w:val="3BAC66BB"/>
    <w:multiLevelType w:val="hybridMultilevel"/>
    <w:tmpl w:val="6E5E76F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3CB65D28"/>
    <w:multiLevelType w:val="multilevel"/>
    <w:tmpl w:val="A4F4B3A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91DEF"/>
    <w:multiLevelType w:val="hybridMultilevel"/>
    <w:tmpl w:val="8EBE8980"/>
    <w:lvl w:ilvl="0" w:tplc="5AA61CAC">
      <w:start w:val="1"/>
      <w:numFmt w:val="decimal"/>
      <w:lvlText w:val="%1."/>
      <w:lvlJc w:val="left"/>
      <w:pPr>
        <w:ind w:left="720" w:hanging="360"/>
      </w:pPr>
      <w:rPr>
        <w:rFonts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BB1445"/>
    <w:multiLevelType w:val="multilevel"/>
    <w:tmpl w:val="B21EC79C"/>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A3802"/>
    <w:multiLevelType w:val="hybridMultilevel"/>
    <w:tmpl w:val="9FA271DC"/>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5FD65D71"/>
    <w:multiLevelType w:val="hybridMultilevel"/>
    <w:tmpl w:val="C2FE2C74"/>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C3B54C8"/>
    <w:multiLevelType w:val="hybridMultilevel"/>
    <w:tmpl w:val="95CE7B00"/>
    <w:lvl w:ilvl="0" w:tplc="4F3E5DF0">
      <w:start w:val="1"/>
      <w:numFmt w:val="decimal"/>
      <w:lvlText w:val="%1."/>
      <w:lvlJc w:val="left"/>
      <w:pPr>
        <w:ind w:left="1287" w:hanging="360"/>
      </w:pPr>
      <w:rPr>
        <w:rFonts w:hint="default"/>
        <w:b w:val="0"/>
        <w:bCs w:val="0"/>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72642E41"/>
    <w:multiLevelType w:val="hybridMultilevel"/>
    <w:tmpl w:val="EB4C4DD8"/>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79173CD0"/>
    <w:multiLevelType w:val="hybridMultilevel"/>
    <w:tmpl w:val="C48A687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9"/>
  </w:num>
  <w:num w:numId="2">
    <w:abstractNumId w:val="11"/>
  </w:num>
  <w:num w:numId="3">
    <w:abstractNumId w:val="12"/>
  </w:num>
  <w:num w:numId="4">
    <w:abstractNumId w:val="6"/>
  </w:num>
  <w:num w:numId="5">
    <w:abstractNumId w:val="4"/>
  </w:num>
  <w:num w:numId="6">
    <w:abstractNumId w:val="5"/>
  </w:num>
  <w:num w:numId="7">
    <w:abstractNumId w:val="3"/>
  </w:num>
  <w:num w:numId="8">
    <w:abstractNumId w:val="2"/>
  </w:num>
  <w:num w:numId="9">
    <w:abstractNumId w:val="0"/>
  </w:num>
  <w:num w:numId="10">
    <w:abstractNumId w:val="10"/>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F0"/>
    <w:rsid w:val="00082AEF"/>
    <w:rsid w:val="000E2C25"/>
    <w:rsid w:val="001A6252"/>
    <w:rsid w:val="00233343"/>
    <w:rsid w:val="002B24DE"/>
    <w:rsid w:val="00332F37"/>
    <w:rsid w:val="00392861"/>
    <w:rsid w:val="003E141C"/>
    <w:rsid w:val="0057001A"/>
    <w:rsid w:val="006D56FC"/>
    <w:rsid w:val="00B352E6"/>
    <w:rsid w:val="00B848F0"/>
    <w:rsid w:val="00FD0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D604"/>
  <w15:chartTrackingRefBased/>
  <w15:docId w15:val="{97EEFDEE-F7B3-442A-9845-FA183444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F0"/>
    <w:pPr>
      <w:ind w:left="720"/>
      <w:contextualSpacing/>
    </w:pPr>
  </w:style>
  <w:style w:type="paragraph" w:styleId="NormalWeb">
    <w:name w:val="Normal (Web)"/>
    <w:basedOn w:val="Normal"/>
    <w:uiPriority w:val="99"/>
    <w:semiHidden/>
    <w:unhideWhenUsed/>
    <w:rsid w:val="005700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70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01A"/>
  </w:style>
  <w:style w:type="paragraph" w:styleId="Footer">
    <w:name w:val="footer"/>
    <w:basedOn w:val="Normal"/>
    <w:link w:val="FooterChar"/>
    <w:uiPriority w:val="99"/>
    <w:unhideWhenUsed/>
    <w:rsid w:val="00570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87715">
      <w:bodyDiv w:val="1"/>
      <w:marLeft w:val="0"/>
      <w:marRight w:val="0"/>
      <w:marTop w:val="0"/>
      <w:marBottom w:val="0"/>
      <w:divBdr>
        <w:top w:val="none" w:sz="0" w:space="0" w:color="auto"/>
        <w:left w:val="none" w:sz="0" w:space="0" w:color="auto"/>
        <w:bottom w:val="none" w:sz="0" w:space="0" w:color="auto"/>
        <w:right w:val="none" w:sz="0" w:space="0" w:color="auto"/>
      </w:divBdr>
    </w:div>
    <w:div w:id="1228343174">
      <w:bodyDiv w:val="1"/>
      <w:marLeft w:val="0"/>
      <w:marRight w:val="0"/>
      <w:marTop w:val="0"/>
      <w:marBottom w:val="0"/>
      <w:divBdr>
        <w:top w:val="none" w:sz="0" w:space="0" w:color="auto"/>
        <w:left w:val="none" w:sz="0" w:space="0" w:color="auto"/>
        <w:bottom w:val="none" w:sz="0" w:space="0" w:color="auto"/>
        <w:right w:val="none" w:sz="0" w:space="0" w:color="auto"/>
      </w:divBdr>
    </w:div>
    <w:div w:id="1801027308">
      <w:bodyDiv w:val="1"/>
      <w:marLeft w:val="0"/>
      <w:marRight w:val="0"/>
      <w:marTop w:val="0"/>
      <w:marBottom w:val="0"/>
      <w:divBdr>
        <w:top w:val="none" w:sz="0" w:space="0" w:color="auto"/>
        <w:left w:val="none" w:sz="0" w:space="0" w:color="auto"/>
        <w:bottom w:val="none" w:sz="0" w:space="0" w:color="auto"/>
        <w:right w:val="none" w:sz="0" w:space="0" w:color="auto"/>
      </w:divBdr>
      <w:divsChild>
        <w:div w:id="1672222387">
          <w:marLeft w:val="0"/>
          <w:marRight w:val="0"/>
          <w:marTop w:val="0"/>
          <w:marBottom w:val="0"/>
          <w:divBdr>
            <w:top w:val="none" w:sz="0" w:space="0" w:color="auto"/>
            <w:left w:val="none" w:sz="0" w:space="0" w:color="auto"/>
            <w:bottom w:val="none" w:sz="0" w:space="0" w:color="auto"/>
            <w:right w:val="none" w:sz="0" w:space="0" w:color="auto"/>
          </w:divBdr>
          <w:divsChild>
            <w:div w:id="1925802704">
              <w:marLeft w:val="0"/>
              <w:marRight w:val="0"/>
              <w:marTop w:val="0"/>
              <w:marBottom w:val="0"/>
              <w:divBdr>
                <w:top w:val="none" w:sz="0" w:space="0" w:color="auto"/>
                <w:left w:val="none" w:sz="0" w:space="0" w:color="auto"/>
                <w:bottom w:val="none" w:sz="0" w:space="0" w:color="auto"/>
                <w:right w:val="none" w:sz="0" w:space="0" w:color="auto"/>
              </w:divBdr>
            </w:div>
          </w:divsChild>
        </w:div>
        <w:div w:id="1401441732">
          <w:marLeft w:val="0"/>
          <w:marRight w:val="0"/>
          <w:marTop w:val="0"/>
          <w:marBottom w:val="0"/>
          <w:divBdr>
            <w:top w:val="none" w:sz="0" w:space="0" w:color="auto"/>
            <w:left w:val="none" w:sz="0" w:space="0" w:color="auto"/>
            <w:bottom w:val="none" w:sz="0" w:space="0" w:color="auto"/>
            <w:right w:val="none" w:sz="0" w:space="0" w:color="auto"/>
          </w:divBdr>
          <w:divsChild>
            <w:div w:id="13928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tadeeb</dc:creator>
  <cp:keywords/>
  <dc:description/>
  <cp:lastModifiedBy>sheikh tadeeb</cp:lastModifiedBy>
  <cp:revision>9</cp:revision>
  <dcterms:created xsi:type="dcterms:W3CDTF">2021-09-30T07:47:00Z</dcterms:created>
  <dcterms:modified xsi:type="dcterms:W3CDTF">2021-09-30T08:28:00Z</dcterms:modified>
</cp:coreProperties>
</file>