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T23Metadata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spacing w:after="160" w:line="280" w:lineRule="exact"/>
      </w:pPr>
      <w:r>
        <w:rPr>
          <w:rFonts w:ascii="Noto Sans SC" w:hAnsi="Noto Sans SC" w:eastAsia="Noto Sans SC"/>
          <w:color w:val="000000"/>
          <w:sz w:val="42"/>
        </w:rPr>
        <w:t>实体对局逐手记录空表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对局编号 __________ 日期 __________ 尺寸 __________ 贴目 __________</w:t>
      </w:r>
      <w:r>
        <w:br/>
      </w:r>
      <w:r>
        <w:rPr>
          <w:rFonts w:ascii="Noto Sans SC" w:hAnsi="Noto Sans SC" w:eastAsia="Noto Sans SC"/>
          <w:color w:val="000000"/>
          <w:sz w:val="22"/>
        </w:rPr>
        <w:t>首手执色 __________ 起点 [ ] 空盘 [ ] 另附完整布局与先手</w:t>
      </w:r>
      <w:r>
        <w:br/>
      </w:r>
      <w:r>
        <w:rPr>
          <w:rFonts w:ascii="Noto Sans SC" w:hAnsi="Noto Sans SC" w:eastAsia="Noto Sans SC"/>
          <w:color w:val="000000"/>
          <w:sz w:val="22"/>
        </w:rPr>
        <w:t>摆棋转对局须核查各块有气；当前布局建立新历史，此前历史未知。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A–T 列跳过 I，行从下往上；9 路左上 A9、右下 J1。每一合法动作记一行，place 记坐标；pass/resign 不写落点。无效动作不换手、不当停手。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850"/>
        <w:gridCol w:w="3572"/>
        <w:gridCol w:w="2381"/>
        <w:gridCol w:w="2268"/>
      </w:tblGrid>
      <w:tr>
        <w:trPr>
          <w:cantSplit/>
          <w:tblHeader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手数</w:t>
            </w:r>
          </w:p>
        </w:tc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执色</w:t>
            </w:r>
          </w:p>
        </w:tc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落点或停手/认输</w:t>
            </w:r>
          </w:p>
        </w:tc>
        <w:tc>
          <w:tcPr>
            <w:tcW w:type="dxa" w:w="23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被提坐标</w:t>
            </w:r>
          </w:p>
        </w:tc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23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23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23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23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23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23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23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23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23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23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23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23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23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850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3572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2381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  <w:tc>
          <w:tcPr>
            <w:tcW w:type="dxa" w:w="2268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</w:r>
          </w:p>
        </w:tc>
      </w:tr>
    </w:tbl>
    <w:p>
      <w:pPr>
        <w:spacing w:after="20"/>
      </w:pP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起点图编号 __________  本页承接第 __________ 手</w:t>
      </w:r>
      <w:r>
        <w:br/>
      </w:r>
      <w:r>
        <w:rPr>
          <w:rFonts w:ascii="Noto Sans SC" w:hAnsi="Noto Sans SC" w:eastAsia="Noto Sans SC"/>
          <w:color w:val="000000"/>
          <w:sz w:val="22"/>
        </w:rPr>
        <w:t>两停确认：双方死子/中立共识另记，注释不移走原盘；争议恢复原盘，保留本记录，连续停手数归零。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重复核对：依起点与记录重摆，比较提子后的完整布局与包括起点在内的先前布局，只比较棋子；停手例外。无法核实时先暂停并保留记录，不猜合法性或赢家。续页可复印空表，手数接续，回退时原分支另标作废。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SC" w:hAnsi="Noto Sans SC" w:eastAsia="Noto Sans SC"/>
        <w:color w:val="000000"/>
        <w:sz w:val="16"/>
      </w:rPr>
      <w:t xml:space="preserve">围棋社活动资源  T23-GAME-LOG-TEMPLATE r1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实体对局逐手记录空表</dc:title>
  <dc:subject>可调整活动设计与空白记录模板</dc:subject>
  <dc:creator>围棋社资源制作</dc:creator>
  <cp:keywords>T23-GAME-LOG-TEMPLATE 0.17.0-plus-t23.1 GO-CLUB-AREA-1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chemaVersion">
    <vt:lpwstr>1</vt:lpwstr>
  </property>
  <property fmtid="{D5CDD505-2E9C-101B-9397-08002B2CF9AE}" pid="3" name="id">
    <vt:lpwstr>T23-GAME-LOG-TEMPLATE</vt:lpwstr>
  </property>
  <property fmtid="{D5CDD505-2E9C-101B-9397-08002B2CF9AE}" pid="4" name="revision">
    <vt:lpwstr>1</vt:lpwstr>
  </property>
  <property fmtid="{D5CDD505-2E9C-101B-9397-08002B2CF9AE}" pid="5" name="rulesetId">
    <vt:lpwstr>GO-CLUB-AREA-1</vt:lpwstr>
  </property>
</Properties>
</file>