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T23Metadata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after="160" w:line="280" w:lineRule="exact"/>
      </w:pPr>
      <w:r>
        <w:rPr>
          <w:rFonts w:ascii="Noto Sans SC" w:hAnsi="Noto Sans SC" w:eastAsia="Noto Sans SC"/>
          <w:color w:val="000000"/>
          <w:sz w:val="42"/>
        </w:rPr>
        <w:t>连接和救棋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看见连接如何改变整块的气，区分局部救棋与永久活棋。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器材与布置：G＝⌈N/2⌉。每组 B9/B5 各 1 盘、黑白各 90 子、1 份规则卡、2 支笔，所选题卡各 1 套。 两人一盘，目标三角与气环分别放在棋子和空点；提示者坐在伙伴侧边，不接管棋子。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微课：T22_MicroLesson_04_r1.pptx 第 1–5 页（合并第 16–20 页）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题卡均 r1，括号为正/背页→答案页：CON-001（6→14）；CON-003（7→16）；CON-005（8→18）。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开场：先说你想保护哪一块，再听伙伴提出一个回应。我们看的是这一步改变了什么，不必找全盘最佳手。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617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时段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主持与成员动作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0–3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找目标：各选连接或救棋，指明目标棋块。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3–9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短微课：看第 4 套，先猜连接点再看变化。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9–21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合作救棋：按 CON-003 黑先，先说计划再落一手；交换计划者与回应者。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21–38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对弈或继续试形：选 CON-001/005 或自由对弈；未知合法手保留讨论。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38–42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解释一次变化：复述伙伴的目标，比较落子前后整块的气。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42–45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反馈与整理：自愿反馈，恢复题目起点与收纳。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零基础：在 CON-001 找一个连接点，用手沿同色棋子走一遍。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少量经验：CON-003 救出被打吃的目标，再猜对方一手。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熟练成员：比较 CON-005 的救棋与连接；说明局部成功的证据边界。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无屏：照卡正面摆完整 5 路题盘，口述目标和回应，轮流实际落子；用卡背/答案册核对，题目尺寸与先手照原卡。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结束问：这步接起了哪两块？救出目标一手是否已经证明永远活？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收尾：自愿三项反馈或跳过；活动编号/日期按实际填写，之后清点收纳。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注意：CON-003 只要求目标留下且至少两气；连接成功不等于整盘好棋或永久活棋。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SC" w:hAnsi="Noto Sans SC" w:eastAsia="Noto Sans SC"/>
        <w:color w:val="000000"/>
        <w:sz w:val="16"/>
      </w:rPr>
      <w:t xml:space="preserve">围棋社活动资源  T23-ACT-03 r1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连接和救棋</dc:title>
  <dc:subject>可调整活动设计与空白记录模板</dc:subject>
  <dc:creator>围棋社资源制作</dc:creator>
  <cp:keywords>T23-ACT-03 0.17.0-plus-t23.1 GO-CLUB-AREA-1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hemaVersion">
    <vt:lpwstr>1</vt:lpwstr>
  </property>
  <property fmtid="{D5CDD505-2E9C-101B-9397-08002B2CF9AE}" pid="3" name="id">
    <vt:lpwstr>T23-ACT-03</vt:lpwstr>
  </property>
  <property fmtid="{D5CDD505-2E9C-101B-9397-08002B2CF9AE}" pid="4" name="revision">
    <vt:lpwstr>1</vt:lpwstr>
  </property>
  <property fmtid="{D5CDD505-2E9C-101B-9397-08002B2CF9AE}" pid="5" name="rulesetId">
    <vt:lpwstr>GO-CLUB-AREA-1</vt:lpwstr>
  </property>
</Properties>
</file>