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ESG Due Diligence Pack</w:t>
      </w:r>
    </w:p>
    <w:p>
      <w:r>
        <w:t>Environmental, Social &amp; Governance Analysis</w:t>
        <w:br/>
        <w:t>November 08, 2025</w:t>
      </w:r>
    </w:p>
    <w:p>
      <w:r>
        <w:br w:type="page"/>
      </w:r>
    </w:p>
    <w:p>
      <w:pPr>
        <w:pStyle w:val="Heading1"/>
      </w:pPr>
      <w:r>
        <w:t>Environmental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Carbon Emissions (MT CO2e)</w:t>
            </w:r>
          </w:p>
        </w:tc>
        <w:tc>
          <w:tcPr>
            <w:tcW w:type="dxa" w:w="2160"/>
          </w:tcPr>
          <w:p>
            <w:r>
              <w:t>125,000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Renewable Energy Usage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Water Consumption (M gallons)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Waste Recycling Rate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Scope 1+2 Reduction Target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  <w:tc>
          <w:tcPr>
            <w:tcW w:type="dxa" w:w="2160"/>
          </w:tcPr>
          <w:p>
            <w:r>
              <w:t>-40%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</w:tbl>
    <w:p>
      <w:pPr>
        <w:pStyle w:val="Heading1"/>
      </w:pPr>
      <w:r>
        <w:t>Environmental Risk Assessment</w:t>
      </w:r>
    </w:p>
    <w:p>
      <w:r>
        <w:t>Climate Risk Exposure:</w:t>
      </w:r>
    </w:p>
    <w:p>
      <w:pPr>
        <w:pStyle w:val="ListBullet"/>
      </w:pPr>
      <w:r>
        <w:t>• Physical risks: Low exposure to climate-related disruptions</w:t>
      </w:r>
    </w:p>
    <w:p>
      <w:pPr>
        <w:pStyle w:val="ListBullet"/>
      </w:pPr>
      <w:r>
        <w:t>• Transition risks: Moderate exposure to carbon pricing regulations</w:t>
      </w:r>
    </w:p>
    <w:p>
      <w:pPr>
        <w:pStyle w:val="ListBullet"/>
      </w:pPr>
      <w:r>
        <w:t>• Opportunities: Strong positioning in renewable energy transition</w:t>
      </w:r>
    </w:p>
    <w:p>
      <w:r>
        <w:t>Environmental Compliance:</w:t>
      </w:r>
    </w:p>
    <w:p>
      <w:pPr>
        <w:pStyle w:val="ListBullet"/>
      </w:pPr>
      <w:r>
        <w:t>• No material environmental violations in past 3 years</w:t>
      </w:r>
    </w:p>
    <w:p>
      <w:pPr>
        <w:pStyle w:val="ListBullet"/>
      </w:pPr>
      <w:r>
        <w:t>• ISO 14001 certified facilities: 85% of operations</w:t>
      </w:r>
    </w:p>
    <w:p>
      <w:pPr>
        <w:pStyle w:val="ListBullet"/>
      </w:pPr>
      <w:r>
        <w:t>• Active environmental management system in place</w:t>
      </w:r>
    </w:p>
    <w:p>
      <w:pPr>
        <w:pStyle w:val="Heading1"/>
      </w:pPr>
      <w:r>
        <w:t>Social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Industry Avg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  <w:tr>
        <w:tc>
          <w:tcPr>
            <w:tcW w:type="dxa" w:w="2160"/>
          </w:tcPr>
          <w:p>
            <w:r>
              <w:t>Employee Engagement Score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Diversity (Board Level)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Diversity (Management)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Employee Turnover Rate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Training Hours per Employee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Safety Incident Rate (TRIR)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</w:tbl>
    <w:p>
      <w:pPr>
        <w:pStyle w:val="Heading1"/>
      </w:pPr>
      <w:r>
        <w:t>Social Programs &amp; Initiatives</w:t>
      </w:r>
    </w:p>
    <w:p>
      <w:r>
        <w:t>Diversity, Equity &amp; Inclusion:</w:t>
      </w:r>
    </w:p>
    <w:p>
      <w:pPr>
        <w:pStyle w:val="ListBullet"/>
      </w:pPr>
      <w:r>
        <w:t>• Structured DEI program with dedicated leadership</w:t>
      </w:r>
    </w:p>
    <w:p>
      <w:pPr>
        <w:pStyle w:val="ListBullet"/>
      </w:pPr>
      <w:r>
        <w:t>• Employee resource groups covering 8 affinity categories</w:t>
      </w:r>
    </w:p>
    <w:p>
      <w:pPr>
        <w:pStyle w:val="ListBullet"/>
      </w:pPr>
      <w:r>
        <w:t>• Pay equity analysis conducted annually</w:t>
      </w:r>
    </w:p>
    <w:p>
      <w:r>
        <w:t>Employee Wellbeing:</w:t>
      </w:r>
    </w:p>
    <w:p>
      <w:pPr>
        <w:pStyle w:val="ListBullet"/>
      </w:pPr>
      <w:r>
        <w:t>• Comprehensive health and wellness programs</w:t>
      </w:r>
    </w:p>
    <w:p>
      <w:pPr>
        <w:pStyle w:val="ListBullet"/>
      </w:pPr>
      <w:r>
        <w:t>• Mental health support and resources</w:t>
      </w:r>
    </w:p>
    <w:p>
      <w:pPr>
        <w:pStyle w:val="ListBullet"/>
      </w:pPr>
      <w:r>
        <w:t>• Flexible work arrangements post-pandemic</w:t>
      </w:r>
    </w:p>
    <w:p>
      <w:r>
        <w:t>Community Engagement:</w:t>
      </w:r>
    </w:p>
    <w:p>
      <w:pPr>
        <w:pStyle w:val="ListBullet"/>
      </w:pPr>
      <w:r>
        <w:t>• $5.2M in charitable contributions annually</w:t>
      </w:r>
    </w:p>
    <w:p>
      <w:pPr>
        <w:pStyle w:val="ListBullet"/>
      </w:pPr>
      <w:r>
        <w:t>• 12,500+ volunteer hours by employees</w:t>
      </w:r>
    </w:p>
    <w:p>
      <w:pPr>
        <w:pStyle w:val="ListBullet"/>
      </w:pPr>
      <w:r>
        <w:t>• Strategic partnerships with 15 nonprofit organizations</w:t>
      </w:r>
    </w:p>
    <w:p>
      <w:pPr>
        <w:pStyle w:val="Heading1"/>
      </w:pPr>
      <w:r>
        <w:t>Governance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Board Independence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75% independent directors</w:t>
            </w:r>
          </w:p>
        </w:tc>
      </w:tr>
      <w:tr>
        <w:tc>
          <w:tcPr>
            <w:tcW w:type="dxa" w:w="2880"/>
          </w:tcPr>
          <w:p>
            <w:r>
              <w:t>Board Diversity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40% women, 30% minorities</w:t>
            </w:r>
          </w:p>
        </w:tc>
      </w:tr>
      <w:tr>
        <w:tc>
          <w:tcPr>
            <w:tcW w:type="dxa" w:w="2880"/>
          </w:tcPr>
          <w:p>
            <w:r>
              <w:t>Audit Committee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100% independent, financial experts</w:t>
            </w:r>
          </w:p>
        </w:tc>
      </w:tr>
      <w:tr>
        <w:tc>
          <w:tcPr>
            <w:tcW w:type="dxa" w:w="2880"/>
          </w:tcPr>
          <w:p>
            <w:r>
              <w:t>CEO/Chair Separation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Separate roles since 2020</w:t>
            </w:r>
          </w:p>
        </w:tc>
      </w:tr>
      <w:tr>
        <w:tc>
          <w:tcPr>
            <w:tcW w:type="dxa" w:w="2880"/>
          </w:tcPr>
          <w:p>
            <w:r>
              <w:t>Executive Compensation</w:t>
            </w:r>
          </w:p>
        </w:tc>
        <w:tc>
          <w:tcPr>
            <w:tcW w:type="dxa" w:w="2880"/>
          </w:tcPr>
          <w:p>
            <w:r>
              <w:t>Aligned</w:t>
            </w:r>
          </w:p>
        </w:tc>
        <w:tc>
          <w:tcPr>
            <w:tcW w:type="dxa" w:w="2880"/>
          </w:tcPr>
          <w:p>
            <w:r>
              <w:t>Performance-based, ESG metrics</w:t>
            </w:r>
          </w:p>
        </w:tc>
      </w:tr>
      <w:tr>
        <w:tc>
          <w:tcPr>
            <w:tcW w:type="dxa" w:w="2880"/>
          </w:tcPr>
          <w:p>
            <w:r>
              <w:t>Shareholder Rights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One share, one vote</w:t>
            </w:r>
          </w:p>
        </w:tc>
      </w:tr>
      <w:tr>
        <w:tc>
          <w:tcPr>
            <w:tcW w:type="dxa" w:w="2880"/>
          </w:tcPr>
          <w:p>
            <w:r>
              <w:t>Anti-Corruption Policies</w:t>
            </w:r>
          </w:p>
        </w:tc>
        <w:tc>
          <w:tcPr>
            <w:tcW w:type="dxa" w:w="2880"/>
          </w:tcPr>
          <w:p>
            <w:r>
              <w:t>Robust</w:t>
            </w:r>
          </w:p>
        </w:tc>
        <w:tc>
          <w:tcPr>
            <w:tcW w:type="dxa" w:w="2880"/>
          </w:tcPr>
          <w:p>
            <w:r>
              <w:t>Annual training, whistleblower hotline</w:t>
            </w:r>
          </w:p>
        </w:tc>
      </w:tr>
    </w:tbl>
    <w:p>
      <w:pPr>
        <w:pStyle w:val="Heading1"/>
      </w:pPr>
      <w:r>
        <w:t>Corporate Governance Framework</w:t>
      </w:r>
    </w:p>
    <w:p>
      <w:r>
        <w:t>Board Structure &amp; Oversight:</w:t>
      </w:r>
    </w:p>
    <w:p>
      <w:pPr>
        <w:pStyle w:val="ListBullet"/>
      </w:pPr>
      <w:r>
        <w:t>• 9-member board with diverse skillsets</w:t>
      </w:r>
    </w:p>
    <w:p>
      <w:pPr>
        <w:pStyle w:val="ListBullet"/>
      </w:pPr>
      <w:r>
        <w:t>• Committees: Audit, Compensation, Nominating/Governance, ESG</w:t>
      </w:r>
    </w:p>
    <w:p>
      <w:pPr>
        <w:pStyle w:val="ListBullet"/>
      </w:pPr>
      <w:r>
        <w:t>• Annual board evaluation and director training</w:t>
      </w:r>
    </w:p>
    <w:p>
      <w:r>
        <w:t>Risk Management:</w:t>
      </w:r>
    </w:p>
    <w:p>
      <w:pPr>
        <w:pStyle w:val="ListBullet"/>
      </w:pPr>
      <w:r>
        <w:t>• Enterprise risk management framework</w:t>
      </w:r>
    </w:p>
    <w:p>
      <w:pPr>
        <w:pStyle w:val="ListBullet"/>
      </w:pPr>
      <w:r>
        <w:t>• Quarterly risk reporting to board</w:t>
      </w:r>
    </w:p>
    <w:p>
      <w:pPr>
        <w:pStyle w:val="ListBullet"/>
      </w:pPr>
      <w:r>
        <w:t>• Cybersecurity oversight by full board</w:t>
      </w:r>
    </w:p>
    <w:p>
      <w:r>
        <w:t>Ethics &amp; Compliance:</w:t>
      </w:r>
    </w:p>
    <w:p>
      <w:pPr>
        <w:pStyle w:val="ListBullet"/>
      </w:pPr>
      <w:r>
        <w:t>• Code of conduct with annual certification</w:t>
      </w:r>
    </w:p>
    <w:p>
      <w:pPr>
        <w:pStyle w:val="ListBullet"/>
      </w:pPr>
      <w:r>
        <w:t>• Anti-bribery and corruption policies</w:t>
      </w:r>
    </w:p>
    <w:p>
      <w:pPr>
        <w:pStyle w:val="ListBullet"/>
      </w:pPr>
      <w:r>
        <w:t>• Third-party due diligence procedures</w:t>
      </w:r>
    </w:p>
    <w:p>
      <w:pPr>
        <w:pStyle w:val="Heading1"/>
      </w:pPr>
      <w:r>
        <w:t>ESG Ratings &amp; Recognition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 Agency</w:t>
            </w:r>
          </w:p>
        </w:tc>
        <w:tc>
          <w:tcPr>
            <w:tcW w:type="dxa" w:w="2880"/>
          </w:tcPr>
          <w:p>
            <w:r>
              <w:t>Score/Rating</w:t>
            </w:r>
          </w:p>
        </w:tc>
        <w:tc>
          <w:tcPr>
            <w:tcW w:type="dxa" w:w="2880"/>
          </w:tcPr>
          <w:p>
            <w:r>
              <w:t>Percentile</w:t>
            </w:r>
          </w:p>
        </w:tc>
      </w:tr>
      <w:tr>
        <w:tc>
          <w:tcPr>
            <w:tcW w:type="dxa" w:w="2880"/>
          </w:tcPr>
          <w:p>
            <w:r>
              <w:t>MSCI ESG Rating</w:t>
            </w:r>
          </w:p>
        </w:tc>
        <w:tc>
          <w:tcPr>
            <w:tcW w:type="dxa" w:w="2880"/>
          </w:tcPr>
          <w:p>
            <w:r>
              <w:t>AA</w:t>
            </w:r>
          </w:p>
        </w:tc>
        <w:tc>
          <w:tcPr>
            <w:tcW w:type="dxa" w:w="2880"/>
          </w:tcPr>
          <w:p>
            <w:r>
              <w:t>Top 25%</w:t>
            </w:r>
          </w:p>
        </w:tc>
      </w:tr>
      <w:tr>
        <w:tc>
          <w:tcPr>
            <w:tcW w:type="dxa" w:w="2880"/>
          </w:tcPr>
          <w:p>
            <w:r>
              <w:t>Sustainalytics ESG Risk</w:t>
            </w:r>
          </w:p>
        </w:tc>
        <w:tc>
          <w:tcPr>
            <w:tcW w:type="dxa" w:w="2880"/>
          </w:tcPr>
          <w:p>
            <w:r>
              <w:t>18.5 (Low Risk)</w:t>
            </w:r>
          </w:p>
        </w:tc>
        <w:tc>
          <w:tcPr>
            <w:tcW w:type="dxa" w:w="2880"/>
          </w:tcPr>
          <w:p>
            <w:r>
              <w:t>Top 30%</w:t>
            </w:r>
          </w:p>
        </w:tc>
      </w:tr>
      <w:tr>
        <w:tc>
          <w:tcPr>
            <w:tcW w:type="dxa" w:w="2880"/>
          </w:tcPr>
          <w:p>
            <w:r>
              <w:t>CDP Climate Score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Top 20%</w:t>
            </w:r>
          </w:p>
        </w:tc>
      </w:tr>
      <w:tr>
        <w:tc>
          <w:tcPr>
            <w:tcW w:type="dxa" w:w="2880"/>
          </w:tcPr>
          <w:p>
            <w:r>
              <w:t>ISS Governance QualityScore</w:t>
            </w:r>
          </w:p>
        </w:tc>
        <w:tc>
          <w:tcPr>
            <w:tcW w:type="dxa" w:w="2880"/>
          </w:tcPr>
          <w:p>
            <w:r>
              <w:t>2 (Low Risk)</w:t>
            </w:r>
          </w:p>
        </w:tc>
        <w:tc>
          <w:tcPr>
            <w:tcW w:type="dxa" w:w="2880"/>
          </w:tcPr>
          <w:p>
            <w:r>
              <w:t>Top 35%</w:t>
            </w:r>
          </w:p>
        </w:tc>
      </w:tr>
    </w:tbl>
    <w:p>
      <w:pPr>
        <w:pStyle w:val="Heading1"/>
      </w:pPr>
      <w:r>
        <w:t>Summary &amp; Recommendations</w:t>
      </w:r>
    </w:p>
    <w:p>
      <w:r>
        <w:t>CrowdStrike Holdings, Inc. demonstrates strong ESG performance across environmental, social, and governance dimensions. The company has established comprehensive programs and maintains above-average metrics relative to industry peers. Key strengths include robust governance framework, strong social programs, and proactive environmental initiatives.</w:t>
      </w:r>
    </w:p>
    <w:p>
      <w:r>
        <w:t>Key Strengths:</w:t>
      </w:r>
    </w:p>
    <w:p>
      <w:pPr>
        <w:pStyle w:val="ListBullet"/>
      </w:pPr>
      <w:r>
        <w:t>• Leading governance practices with independent board oversight</w:t>
      </w:r>
    </w:p>
    <w:p>
      <w:pPr>
        <w:pStyle w:val="ListBullet"/>
      </w:pPr>
      <w:r>
        <w:t>• Strong employee engagement and diversity metrics</w:t>
      </w:r>
    </w:p>
    <w:p>
      <w:pPr>
        <w:pStyle w:val="ListBullet"/>
      </w:pPr>
      <w:r>
        <w:t>• Clear environmental targets with measurable progress</w:t>
      </w:r>
    </w:p>
    <w:p>
      <w:pPr>
        <w:pStyle w:val="ListBullet"/>
      </w:pPr>
      <w:r>
        <w:t>• Recognition from major ESG rating agencies</w:t>
      </w:r>
    </w:p>
    <w:p>
      <w:r>
        <w:t>Areas for Enhancement:</w:t>
      </w:r>
    </w:p>
    <w:p>
      <w:pPr>
        <w:pStyle w:val="ListBullet"/>
      </w:pPr>
      <w:r>
        <w:t>• Accelerate renewable energy transition to meet 2030 targets</w:t>
      </w:r>
    </w:p>
    <w:p>
      <w:pPr>
        <w:pStyle w:val="ListBullet"/>
      </w:pPr>
      <w:r>
        <w:t>• Expand Scope 3 emissions measurement and disclosure</w:t>
      </w:r>
    </w:p>
    <w:p>
      <w:pPr>
        <w:pStyle w:val="ListBullet"/>
      </w:pPr>
      <w:r>
        <w:t>• Enhance supply chain sustainability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