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Financial Due Diligence Pack</w:t>
      </w:r>
    </w:p>
    <w:p>
      <w:r>
        <w:t>Quality of Earnings Analysis</w:t>
        <w:br/>
        <w:t>November 08, 2025</w:t>
      </w:r>
    </w:p>
    <w:p>
      <w:r>
        <w:br w:type="page"/>
      </w:r>
    </w:p>
    <w:p>
      <w:pPr>
        <w:pStyle w:val="Heading1"/>
      </w:pPr>
      <w:r>
        <w:t>Quality of Earnings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 ($M)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Reported EBITDA</w:t>
            </w:r>
          </w:p>
        </w:tc>
        <w:tc>
          <w:tcPr>
            <w:tcW w:type="dxa" w:w="2880"/>
          </w:tcPr>
          <w:p>
            <w:r>
              <w:t>$294.8</w:t>
            </w:r>
          </w:p>
        </w:tc>
        <w:tc>
          <w:tcPr>
            <w:tcW w:type="dxa" w:w="2880"/>
          </w:tcPr>
          <w:p>
            <w:r>
              <w:t>As reported in financials</w:t>
            </w:r>
          </w:p>
        </w:tc>
      </w:tr>
      <w:tr>
        <w:tc>
          <w:tcPr>
            <w:tcW w:type="dxa" w:w="2880"/>
          </w:tcPr>
          <w:p>
            <w:r>
              <w:t>Adjusted EBITDA</w:t>
            </w:r>
          </w:p>
        </w:tc>
        <w:tc>
          <w:tcPr>
            <w:tcW w:type="dxa" w:w="2880"/>
          </w:tcPr>
          <w:p>
            <w:r>
              <w:t>$294.8</w:t>
            </w:r>
          </w:p>
        </w:tc>
        <w:tc>
          <w:tcPr>
            <w:tcW w:type="dxa" w:w="2880"/>
          </w:tcPr>
          <w:p>
            <w:r>
              <w:t>Normalized run-rate</w:t>
            </w:r>
          </w:p>
        </w:tc>
      </w:tr>
    </w:tbl>
    <w:p>
      <w:pPr>
        <w:pStyle w:val="Heading1"/>
      </w:pPr>
      <w:r>
        <w:t>Working Capital Analysis</w:t>
      </w:r>
    </w:p>
    <w:p>
      <w:r>
        <w:t>Analysis of working capital trends and normalization:</w:t>
      </w:r>
    </w:p>
    <w:p>
      <w:pPr>
        <w:pStyle w:val="ListBullet"/>
      </w:pPr>
      <w:r>
        <w:t>• Days Sales Outstanding (DSO)</w:t>
      </w:r>
    </w:p>
    <w:p>
      <w:pPr>
        <w:pStyle w:val="ListBullet"/>
      </w:pPr>
      <w:r>
        <w:t>• Days Inventory Outstanding (DIO)</w:t>
      </w:r>
    </w:p>
    <w:p>
      <w:pPr>
        <w:pStyle w:val="ListBullet"/>
      </w:pPr>
      <w:r>
        <w:t>• Days Payables Outstanding (DPO)</w:t>
      </w:r>
    </w:p>
    <w:p>
      <w:pPr>
        <w:pStyle w:val="Heading1"/>
      </w:pPr>
      <w:r>
        <w:t>Revenue Quality Assessment</w:t>
      </w:r>
    </w:p>
    <w:p>
      <w:r>
        <w:t>Assessment of revenue recognition policies and quality:</w:t>
      </w:r>
    </w:p>
    <w:p>
      <w:pPr>
        <w:pStyle w:val="ListBullet"/>
      </w:pPr>
      <w:r>
        <w:t>• Revenue recognition methods comply with GAAP/IFRS</w:t>
      </w:r>
    </w:p>
    <w:p>
      <w:pPr>
        <w:pStyle w:val="ListBullet"/>
      </w:pPr>
      <w:r>
        <w:t>• No evidence of aggressive revenue recognition</w:t>
      </w:r>
    </w:p>
    <w:p>
      <w:pPr>
        <w:pStyle w:val="ListBullet"/>
      </w:pPr>
      <w:r>
        <w:t>• Customer concentration analysis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