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HR Due Diligence Pack</w:t>
      </w:r>
    </w:p>
    <w:p>
      <w:r>
        <w:t>Human Capital &amp; Organizational Analysis</w:t>
        <w:br/>
        <w:t>November 08, 2025</w:t>
      </w:r>
    </w:p>
    <w:p>
      <w:r>
        <w:br w:type="page"/>
      </w:r>
    </w:p>
    <w:p>
      <w:pPr>
        <w:pStyle w:val="Heading1"/>
      </w:pPr>
      <w:r>
        <w:t>Organizational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Employees</w:t>
            </w:r>
          </w:p>
        </w:tc>
        <w:tc>
          <w:tcPr>
            <w:tcW w:type="dxa" w:w="4320"/>
          </w:tcPr>
          <w:p>
            <w:r>
              <w:t>8,500</w:t>
            </w:r>
          </w:p>
        </w:tc>
      </w:tr>
      <w:tr>
        <w:tc>
          <w:tcPr>
            <w:tcW w:type="dxa" w:w="4320"/>
          </w:tcPr>
          <w:p>
            <w:r>
              <w:t>Full-Time Employees</w:t>
            </w:r>
          </w:p>
        </w:tc>
        <w:tc>
          <w:tcPr>
            <w:tcW w:type="dxa" w:w="4320"/>
          </w:tcPr>
          <w:p>
            <w:r>
              <w:t>7,800 (92%)</w:t>
            </w:r>
          </w:p>
        </w:tc>
      </w:tr>
      <w:tr>
        <w:tc>
          <w:tcPr>
            <w:tcW w:type="dxa" w:w="4320"/>
          </w:tcPr>
          <w:p>
            <w:r>
              <w:t>Part-Time/Contract</w:t>
            </w:r>
          </w:p>
        </w:tc>
        <w:tc>
          <w:tcPr>
            <w:tcW w:type="dxa" w:w="4320"/>
          </w:tcPr>
          <w:p>
            <w:r>
              <w:t>700 (8%)</w:t>
            </w:r>
          </w:p>
        </w:tc>
      </w:tr>
      <w:tr>
        <w:tc>
          <w:tcPr>
            <w:tcW w:type="dxa" w:w="4320"/>
          </w:tcPr>
          <w:p>
            <w:r>
              <w:t>Geographic Distribution</w:t>
            </w:r>
          </w:p>
        </w:tc>
        <w:tc>
          <w:tcPr>
            <w:tcW w:type="dxa" w:w="4320"/>
          </w:tcPr>
          <w:p>
            <w:r>
              <w:t>US: 65%, EMEA: 25%, APAC: 10%</w:t>
            </w:r>
          </w:p>
        </w:tc>
      </w:tr>
      <w:tr>
        <w:tc>
          <w:tcPr>
            <w:tcW w:type="dxa" w:w="4320"/>
          </w:tcPr>
          <w:p>
            <w:r>
              <w:t>Average Tenure</w:t>
            </w:r>
          </w:p>
        </w:tc>
        <w:tc>
          <w:tcPr>
            <w:tcW w:type="dxa" w:w="4320"/>
          </w:tcPr>
          <w:p>
            <w:r>
              <w:t>4.2 years</w:t>
            </w:r>
          </w:p>
        </w:tc>
      </w:tr>
      <w:tr>
        <w:tc>
          <w:tcPr>
            <w:tcW w:type="dxa" w:w="4320"/>
          </w:tcPr>
          <w:p>
            <w:r>
              <w:t>Median Age</w:t>
            </w:r>
          </w:p>
        </w:tc>
        <w:tc>
          <w:tcPr>
            <w:tcW w:type="dxa" w:w="4320"/>
          </w:tcPr>
          <w:p>
            <w:r>
              <w:t>38 years</w:t>
            </w:r>
          </w:p>
        </w:tc>
      </w:tr>
    </w:tbl>
    <w:p>
      <w:pPr>
        <w:pStyle w:val="Heading1"/>
      </w:pPr>
      <w:r>
        <w:t>Organizational Structure</w:t>
      </w:r>
    </w:p>
    <w:p>
      <w:r>
        <w:t>Executive Leadership Team:</w:t>
      </w:r>
    </w:p>
    <w:p>
      <w:pPr>
        <w:pStyle w:val="ListBullet"/>
      </w:pPr>
      <w:r>
        <w:t>• CEO: 8 years tenure, strong operational background</w:t>
      </w:r>
    </w:p>
    <w:p>
      <w:pPr>
        <w:pStyle w:val="ListBullet"/>
      </w:pPr>
      <w:r>
        <w:t>• CFO: 5 years tenure, Big 4 and Fortune 500 experience</w:t>
      </w:r>
    </w:p>
    <w:p>
      <w:pPr>
        <w:pStyle w:val="ListBullet"/>
      </w:pPr>
      <w:r>
        <w:t>• CTO: 6 years tenure, led major tech transformation</w:t>
      </w:r>
    </w:p>
    <w:p>
      <w:pPr>
        <w:pStyle w:val="ListBullet"/>
      </w:pPr>
      <w:r>
        <w:t>• CHRO: 3 years tenure, strong culture-building track record</w:t>
      </w:r>
    </w:p>
    <w:p>
      <w:pPr>
        <w:pStyle w:val="ListBullet"/>
      </w:pPr>
      <w:r>
        <w:t>• 6 additional C-suite executives with avg 5 years tenure</w:t>
      </w:r>
    </w:p>
    <w:p>
      <w:r>
        <w:t>Management Depth:</w:t>
      </w:r>
    </w:p>
    <w:p>
      <w:pPr>
        <w:pStyle w:val="ListBullet"/>
      </w:pPr>
      <w:r>
        <w:t>• 85 VP+ level executives</w:t>
      </w:r>
    </w:p>
    <w:p>
      <w:pPr>
        <w:pStyle w:val="ListBullet"/>
      </w:pPr>
      <w:r>
        <w:t>• Strong bench strength with succession plans for 90% of key roles</w:t>
      </w:r>
    </w:p>
    <w:p>
      <w:pPr>
        <w:pStyle w:val="ListBullet"/>
      </w:pPr>
      <w:r>
        <w:t>• Low management turnover: 8% annually</w:t>
      </w:r>
    </w:p>
    <w:p>
      <w:pPr>
        <w:pStyle w:val="Heading1"/>
      </w:pPr>
      <w:r>
        <w:t>Talent &amp; Retention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Turnover Rate</w:t>
            </w:r>
          </w:p>
        </w:tc>
        <w:tc>
          <w:tcPr>
            <w:tcW w:type="dxa" w:w="2160"/>
          </w:tcPr>
          <w:p>
            <w:r>
              <w:t>Industry Avg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</w:tr>
      <w:tr>
        <w:tc>
          <w:tcPr>
            <w:tcW w:type="dxa" w:w="2160"/>
          </w:tcPr>
          <w:p>
            <w:r>
              <w:t>Total Company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Executive Team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14%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</w:tbl>
    <w:p>
      <w:r>
        <w:t>Retention Programs:</w:t>
      </w:r>
    </w:p>
    <w:p>
      <w:pPr>
        <w:pStyle w:val="ListBullet"/>
      </w:pPr>
      <w:r>
        <w:t>• Competitive total compensation packages</w:t>
      </w:r>
    </w:p>
    <w:p>
      <w:pPr>
        <w:pStyle w:val="ListBullet"/>
      </w:pPr>
      <w:r>
        <w:t>• Career development and internal mobility programs</w:t>
      </w:r>
    </w:p>
    <w:p>
      <w:pPr>
        <w:pStyle w:val="ListBullet"/>
      </w:pPr>
      <w:r>
        <w:t>• Annual engagement surveys with 85% participation rate</w:t>
      </w:r>
    </w:p>
    <w:p>
      <w:pPr>
        <w:pStyle w:val="ListBullet"/>
      </w:pPr>
      <w:r>
        <w:t>• Stay interviews with high performers</w:t>
      </w:r>
    </w:p>
    <w:p>
      <w:pPr>
        <w:pStyle w:val="Heading1"/>
      </w:pPr>
      <w:r>
        <w:t>Compensation &amp; Benefits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Base Salary Percentile</w:t>
            </w:r>
          </w:p>
        </w:tc>
        <w:tc>
          <w:tcPr>
            <w:tcW w:type="dxa" w:w="2880"/>
          </w:tcPr>
          <w:p>
            <w:r>
              <w:t>Total Comp Percentile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60th</w:t>
            </w:r>
          </w:p>
        </w:tc>
        <w:tc>
          <w:tcPr>
            <w:tcW w:type="dxa" w:w="2880"/>
          </w:tcPr>
          <w:p>
            <w:r>
              <w:t>70th</w:t>
            </w:r>
          </w:p>
        </w:tc>
      </w:tr>
      <w:tr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55th</w:t>
            </w:r>
          </w:p>
        </w:tc>
        <w:tc>
          <w:tcPr>
            <w:tcW w:type="dxa" w:w="2880"/>
          </w:tcPr>
          <w:p>
            <w:r>
              <w:t>65th</w:t>
            </w:r>
          </w:p>
        </w:tc>
      </w:tr>
      <w:tr>
        <w:tc>
          <w:tcPr>
            <w:tcW w:type="dxa" w:w="2880"/>
          </w:tcPr>
          <w:p>
            <w:r>
              <w:t>Middle Management</w:t>
            </w:r>
          </w:p>
        </w:tc>
        <w:tc>
          <w:tcPr>
            <w:tcW w:type="dxa" w:w="2880"/>
          </w:tcPr>
          <w:p>
            <w:r>
              <w:t>50th</w:t>
            </w:r>
          </w:p>
        </w:tc>
        <w:tc>
          <w:tcPr>
            <w:tcW w:type="dxa" w:w="2880"/>
          </w:tcPr>
          <w:p>
            <w:r>
              <w:t>60th</w:t>
            </w:r>
          </w:p>
        </w:tc>
      </w:tr>
      <w:tr>
        <w:tc>
          <w:tcPr>
            <w:tcW w:type="dxa" w:w="2880"/>
          </w:tcPr>
          <w:p>
            <w:r>
              <w:t>Individual Contributors</w:t>
            </w:r>
          </w:p>
        </w:tc>
        <w:tc>
          <w:tcPr>
            <w:tcW w:type="dxa" w:w="2880"/>
          </w:tcPr>
          <w:p>
            <w:r>
              <w:t>50th</w:t>
            </w:r>
          </w:p>
        </w:tc>
        <w:tc>
          <w:tcPr>
            <w:tcW w:type="dxa" w:w="2880"/>
          </w:tcPr>
          <w:p>
            <w:r>
              <w:t>55th</w:t>
            </w:r>
          </w:p>
        </w:tc>
      </w:tr>
    </w:tbl>
    <w:p>
      <w:r>
        <w:t>Compensation Philosophy:</w:t>
      </w:r>
    </w:p>
    <w:p>
      <w:pPr>
        <w:pStyle w:val="ListBullet"/>
      </w:pPr>
      <w:r>
        <w:t>• Market-competitive base salaries targeting 50th-60th percentile</w:t>
      </w:r>
    </w:p>
    <w:p>
      <w:pPr>
        <w:pStyle w:val="ListBullet"/>
      </w:pPr>
      <w:r>
        <w:t>• Performance-based variable compensation (bonus + equity)</w:t>
      </w:r>
    </w:p>
    <w:p>
      <w:pPr>
        <w:pStyle w:val="ListBullet"/>
      </w:pPr>
      <w:r>
        <w:t>• Long-term incentives tied to company performance and retention</w:t>
      </w:r>
    </w:p>
    <w:p>
      <w:pPr>
        <w:pStyle w:val="ListBullet"/>
      </w:pPr>
      <w:r>
        <w:t>• Annual compensation reviews and market benchmarking</w:t>
      </w:r>
    </w:p>
    <w:p>
      <w:r>
        <w:t>Benefits Programs:</w:t>
      </w:r>
    </w:p>
    <w:p>
      <w:pPr>
        <w:pStyle w:val="ListBullet"/>
      </w:pPr>
      <w:r>
        <w:t>• Comprehensive health insurance (medical, dental, vision)</w:t>
      </w:r>
    </w:p>
    <w:p>
      <w:pPr>
        <w:pStyle w:val="ListBullet"/>
      </w:pPr>
      <w:r>
        <w:t>• 401(k) with 6% company match (fully vested)</w:t>
      </w:r>
    </w:p>
    <w:p>
      <w:pPr>
        <w:pStyle w:val="ListBullet"/>
      </w:pPr>
      <w:r>
        <w:t>• Generous PTO policy: 20 days + 10 holidays</w:t>
      </w:r>
    </w:p>
    <w:p>
      <w:pPr>
        <w:pStyle w:val="ListBullet"/>
      </w:pPr>
      <w:r>
        <w:t>• Parental leave: 16 weeks primary, 8 weeks secondary</w:t>
      </w:r>
    </w:p>
    <w:p>
      <w:pPr>
        <w:pStyle w:val="ListBullet"/>
      </w:pPr>
      <w:r>
        <w:t>• Professional development budget: $2,500/employee annually</w:t>
      </w:r>
    </w:p>
    <w:p>
      <w:pPr>
        <w:pStyle w:val="ListBullet"/>
      </w:pPr>
      <w:r>
        <w:t>• Wellness programs and mental health support</w:t>
      </w:r>
    </w:p>
    <w:p>
      <w:pPr>
        <w:pStyle w:val="Heading1"/>
      </w:pPr>
      <w:r>
        <w:t>Equity Compensation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Type</w:t>
            </w:r>
          </w:p>
        </w:tc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>
            <w:r>
              <w:t>Vesting Schedule</w:t>
            </w:r>
          </w:p>
        </w:tc>
      </w:tr>
      <w:tr>
        <w:tc>
          <w:tcPr>
            <w:tcW w:type="dxa" w:w="2880"/>
          </w:tcPr>
          <w:p>
            <w:r>
              <w:t>Stock Options</w:t>
            </w:r>
          </w:p>
        </w:tc>
        <w:tc>
          <w:tcPr>
            <w:tcW w:type="dxa" w:w="2880"/>
          </w:tcPr>
          <w:p>
            <w:r>
              <w:t>VP+ level</w:t>
            </w:r>
          </w:p>
        </w:tc>
        <w:tc>
          <w:tcPr>
            <w:tcW w:type="dxa" w:w="2880"/>
          </w:tcPr>
          <w:p>
            <w:r>
              <w:t>4-year vest, 1-year cliff</w:t>
            </w:r>
          </w:p>
        </w:tc>
      </w:tr>
      <w:tr>
        <w:tc>
          <w:tcPr>
            <w:tcW w:type="dxa" w:w="2880"/>
          </w:tcPr>
          <w:p>
            <w:r>
              <w:t>Restricted Stock Units (RSUs)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4-year vest, quarterly</w:t>
            </w:r>
          </w:p>
        </w:tc>
      </w:tr>
      <w:tr>
        <w:tc>
          <w:tcPr>
            <w:tcW w:type="dxa" w:w="2880"/>
          </w:tcPr>
          <w:p>
            <w:r>
              <w:t>Performance Stock Units (PSUs)</w:t>
            </w:r>
          </w:p>
        </w:tc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3-year vest, performance-based</w:t>
            </w:r>
          </w:p>
        </w:tc>
      </w:tr>
      <w:tr>
        <w:tc>
          <w:tcPr>
            <w:tcW w:type="dxa" w:w="2880"/>
          </w:tcPr>
          <w:p>
            <w:r>
              <w:t>Employee Stock Purchase Plan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15% discount, 6-month offering</w:t>
            </w:r>
          </w:p>
        </w:tc>
      </w:tr>
    </w:tbl>
    <w:p>
      <w:r>
        <w:t>Equity Program Metrics:</w:t>
      </w:r>
    </w:p>
    <w:p>
      <w:pPr>
        <w:pStyle w:val="ListBullet"/>
      </w:pPr>
      <w:r>
        <w:t>• Total equity pool: 12% of outstanding shares</w:t>
      </w:r>
    </w:p>
    <w:p>
      <w:pPr>
        <w:pStyle w:val="ListBullet"/>
      </w:pPr>
      <w:r>
        <w:t>• Annual burn rate: 2.5% (below 3% industry threshold)</w:t>
      </w:r>
    </w:p>
    <w:p>
      <w:pPr>
        <w:pStyle w:val="ListBullet"/>
      </w:pPr>
      <w:r>
        <w:t>• Unvested equity value: $450M</w:t>
      </w:r>
    </w:p>
    <w:p>
      <w:pPr>
        <w:pStyle w:val="ListBullet"/>
      </w:pPr>
      <w:r>
        <w:t>• 78% employee participation in equity programs</w:t>
      </w:r>
    </w:p>
    <w:p>
      <w:pPr>
        <w:pStyle w:val="Heading1"/>
      </w:pPr>
      <w:r>
        <w:t>Culture &amp; Employee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Benchmark</w:t>
            </w:r>
          </w:p>
        </w:tc>
      </w:tr>
      <w:tr>
        <w:tc>
          <w:tcPr>
            <w:tcW w:type="dxa" w:w="2880"/>
          </w:tcPr>
          <w:p>
            <w:r>
              <w:t>Overall Engagement Score</w:t>
            </w:r>
          </w:p>
        </w:tc>
        <w:tc>
          <w:tcPr>
            <w:tcW w:type="dxa" w:w="2880"/>
          </w:tcPr>
          <w:p>
            <w:r>
              <w:t>82%</w:t>
            </w:r>
          </w:p>
        </w:tc>
        <w:tc>
          <w:tcPr>
            <w:tcW w:type="dxa" w:w="2880"/>
          </w:tcPr>
          <w:p>
            <w:r>
              <w:t>75% (Industry)</w:t>
            </w:r>
          </w:p>
        </w:tc>
      </w:tr>
      <w:tr>
        <w:tc>
          <w:tcPr>
            <w:tcW w:type="dxa" w:w="2880"/>
          </w:tcPr>
          <w:p>
            <w:r>
              <w:t>Manager Effectiveness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Career Development Satisfaction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Work-Life Balance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72%</w:t>
            </w:r>
          </w:p>
        </w:tc>
      </w:tr>
      <w:tr>
        <w:tc>
          <w:tcPr>
            <w:tcW w:type="dxa" w:w="2880"/>
          </w:tcPr>
          <w:p>
            <w:r>
              <w:t>Recommend as Place to Work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Leadership Trust Score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76%</w:t>
            </w:r>
          </w:p>
        </w:tc>
      </w:tr>
    </w:tbl>
    <w:p>
      <w:r>
        <w:t>Culture Initiatives:</w:t>
      </w:r>
    </w:p>
    <w:p>
      <w:pPr>
        <w:pStyle w:val="ListBullet"/>
      </w:pPr>
      <w:r>
        <w:t>• Core values embedded in hiring, performance, and promotion processes</w:t>
      </w:r>
    </w:p>
    <w:p>
      <w:pPr>
        <w:pStyle w:val="ListBullet"/>
      </w:pPr>
      <w:r>
        <w:t>• Regular all-hands meetings with Q&amp;A sessions</w:t>
      </w:r>
    </w:p>
    <w:p>
      <w:pPr>
        <w:pStyle w:val="ListBullet"/>
      </w:pPr>
      <w:r>
        <w:t>• Employee recognition programs and peer awards</w:t>
      </w:r>
    </w:p>
    <w:p>
      <w:pPr>
        <w:pStyle w:val="ListBullet"/>
      </w:pPr>
      <w:r>
        <w:t>• Flexible work policies (hybrid model: 3 days in office)</w:t>
      </w:r>
    </w:p>
    <w:p>
      <w:pPr>
        <w:pStyle w:val="Heading1"/>
      </w:pPr>
      <w:r>
        <w:t>Learning &amp; Development Programs</w:t>
      </w:r>
    </w:p>
    <w:p>
      <w:r>
        <w:t>Training Programs:</w:t>
      </w:r>
    </w:p>
    <w:p>
      <w:pPr>
        <w:pStyle w:val="ListBullet"/>
      </w:pPr>
      <w:r>
        <w:t>• New hire onboarding: Comprehensive 2-week program</w:t>
      </w:r>
    </w:p>
    <w:p>
      <w:pPr>
        <w:pStyle w:val="ListBullet"/>
      </w:pPr>
      <w:r>
        <w:t>• Manager training: Mandatory quarterly sessions</w:t>
      </w:r>
    </w:p>
    <w:p>
      <w:pPr>
        <w:pStyle w:val="ListBullet"/>
      </w:pPr>
      <w:r>
        <w:t>• Technical skills development: 48 average training hours/year</w:t>
      </w:r>
    </w:p>
    <w:p>
      <w:pPr>
        <w:pStyle w:val="ListBullet"/>
      </w:pPr>
      <w:r>
        <w:t>• Leadership development: High-potential program for 120 participants</w:t>
      </w:r>
    </w:p>
    <w:p>
      <w:r>
        <w:t>Talent Mobility:</w:t>
      </w:r>
    </w:p>
    <w:p>
      <w:pPr>
        <w:pStyle w:val="ListBullet"/>
      </w:pPr>
      <w:r>
        <w:t>• Internal job posting system with priority for internal candidates</w:t>
      </w:r>
    </w:p>
    <w:p>
      <w:pPr>
        <w:pStyle w:val="ListBullet"/>
      </w:pPr>
      <w:r>
        <w:t>• 25% of roles filled internally</w:t>
      </w:r>
    </w:p>
    <w:p>
      <w:pPr>
        <w:pStyle w:val="ListBullet"/>
      </w:pPr>
      <w:r>
        <w:t>• Cross-functional rotation programs</w:t>
      </w:r>
    </w:p>
    <w:p>
      <w:pPr>
        <w:pStyle w:val="Heading1"/>
      </w:pPr>
      <w:r>
        <w:t>HR Risk Assessment</w:t>
      </w:r>
    </w:p>
    <w:p>
      <w:r>
        <w:t>Key Risks:</w:t>
      </w:r>
    </w:p>
    <w:p>
      <w:pPr>
        <w:pStyle w:val="ListBullet"/>
      </w:pPr>
      <w:r>
        <w:t>• Potential retention risk for 15 key technical leaders (mitigation: enhanced retention packages in place)</w:t>
      </w:r>
    </w:p>
    <w:p>
      <w:pPr>
        <w:pStyle w:val="ListBullet"/>
      </w:pPr>
      <w:r>
        <w:t>• Competitive hiring market for specialized engineering talent</w:t>
      </w:r>
    </w:p>
    <w:p>
      <w:pPr>
        <w:pStyle w:val="ListBullet"/>
      </w:pPr>
      <w:r>
        <w:t>• Integration complexity for potential M&amp;A activity</w:t>
      </w:r>
    </w:p>
    <w:p>
      <w:r>
        <w:t>Opportunities:</w:t>
      </w:r>
    </w:p>
    <w:p>
      <w:pPr>
        <w:pStyle w:val="ListBullet"/>
      </w:pPr>
      <w:r>
        <w:t>• Strong employer brand enables efficient recruiting</w:t>
      </w:r>
    </w:p>
    <w:p>
      <w:pPr>
        <w:pStyle w:val="ListBullet"/>
      </w:pPr>
      <w:r>
        <w:t>• Scalable HR infrastructure to support 30% growth</w:t>
      </w:r>
    </w:p>
    <w:p>
      <w:pPr>
        <w:pStyle w:val="ListBullet"/>
      </w:pPr>
      <w:r>
        <w:t>• Best-in-class employee engagement as competitive advantage</w:t>
      </w:r>
    </w:p>
    <w:p>
      <w:pPr>
        <w:pStyle w:val="Heading1"/>
      </w:pPr>
      <w:r>
        <w:t>Post-Transaction Integration Readiness</w:t>
      </w:r>
    </w:p>
    <w:p>
      <w:r>
        <w:t>Day 1 Readiness:</w:t>
      </w:r>
    </w:p>
    <w:p>
      <w:pPr>
        <w:pStyle w:val="ListBullet"/>
      </w:pPr>
      <w:r>
        <w:t>• Retention agreements drafted for 50 key employees</w:t>
      </w:r>
    </w:p>
    <w:p>
      <w:pPr>
        <w:pStyle w:val="ListBullet"/>
      </w:pPr>
      <w:r>
        <w:t>• Communication plan prepared for announcement and integration</w:t>
      </w:r>
    </w:p>
    <w:p>
      <w:pPr>
        <w:pStyle w:val="ListBullet"/>
      </w:pPr>
      <w:r>
        <w:t>• HRIS integration plan with 90-day timeline</w:t>
      </w:r>
    </w:p>
    <w:p>
      <w:r>
        <w:t>Integration Considerations:</w:t>
      </w:r>
    </w:p>
    <w:p>
      <w:pPr>
        <w:pStyle w:val="ListBullet"/>
      </w:pPr>
      <w:r>
        <w:t>• Harmonize compensation and benefits within 6 months</w:t>
      </w:r>
    </w:p>
    <w:p>
      <w:pPr>
        <w:pStyle w:val="ListBullet"/>
      </w:pPr>
      <w:r>
        <w:t>• Maintain strong culture during integration period</w:t>
      </w:r>
    </w:p>
    <w:p>
      <w:pPr>
        <w:pStyle w:val="ListBullet"/>
      </w:pPr>
      <w:r>
        <w:t>• Capture synergies while minimizing disruption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