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Scenario Analysis Pack</w:t>
      </w:r>
    </w:p>
    <w:p>
      <w:r>
        <w:t>Hypergrowth → Bankruptcy Modeling</w:t>
        <w:br/>
        <w:t>November 08, 2025</w:t>
      </w:r>
    </w:p>
    <w:p>
      <w:r>
        <w:br w:type="page"/>
      </w:r>
    </w:p>
    <w:p>
      <w:pPr>
        <w:pStyle w:val="Heading1"/>
      </w:pPr>
      <w:r>
        <w:t>Scenario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Revenue CAGR</w:t>
            </w:r>
          </w:p>
        </w:tc>
        <w:tc>
          <w:tcPr>
            <w:tcW w:type="dxa" w:w="1728"/>
          </w:tcPr>
          <w:p>
            <w:r>
              <w:t>EBITDA Margin</w:t>
            </w:r>
          </w:p>
        </w:tc>
        <w:tc>
          <w:tcPr>
            <w:tcW w:type="dxa" w:w="1728"/>
          </w:tcPr>
          <w:p>
            <w:r>
              <w:t>Market Multiple</w:t>
            </w:r>
          </w:p>
        </w:tc>
        <w:tc>
          <w:tcPr>
            <w:tcW w:type="dxa" w:w="1728"/>
          </w:tcPr>
          <w:p>
            <w:r>
              <w:t>Probability</w:t>
            </w:r>
          </w:p>
        </w:tc>
      </w:tr>
      <w:tr>
        <w:tc>
          <w:tcPr>
            <w:tcW w:type="dxa" w:w="1728"/>
          </w:tcPr>
          <w:p>
            <w:r>
              <w:t>Hypergrowth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-6.3%</w:t>
            </w:r>
          </w:p>
        </w:tc>
        <w:tc>
          <w:tcPr>
            <w:tcW w:type="dxa" w:w="1728"/>
          </w:tcPr>
          <w:p>
            <w:r>
              <w:t>18x EV/EBITDA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Accelerated Growth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-5.8%</w:t>
            </w:r>
          </w:p>
        </w:tc>
        <w:tc>
          <w:tcPr>
            <w:tcW w:type="dxa" w:w="1728"/>
          </w:tcPr>
          <w:p>
            <w:r>
              <w:t>14x EV/EBITDA</w:t>
            </w:r>
          </w:p>
        </w:tc>
        <w:tc>
          <w:tcPr>
            <w:tcW w:type="dxa" w:w="1728"/>
          </w:tcPr>
          <w:p>
            <w:r>
              <w:t>25%</w:t>
            </w:r>
          </w:p>
        </w:tc>
      </w:tr>
      <w:tr>
        <w:tc>
          <w:tcPr>
            <w:tcW w:type="dxa" w:w="1728"/>
          </w:tcPr>
          <w:p>
            <w:r>
              <w:t>Base Case</w:t>
            </w:r>
          </w:p>
        </w:tc>
        <w:tc>
          <w:tcPr>
            <w:tcW w:type="dxa" w:w="1728"/>
          </w:tcPr>
          <w:p>
            <w:r>
              <w:t>8%</w:t>
            </w:r>
          </w:p>
        </w:tc>
        <w:tc>
          <w:tcPr>
            <w:tcW w:type="dxa" w:w="1728"/>
          </w:tcPr>
          <w:p>
            <w:r>
              <w:t>-5.3%</w:t>
            </w:r>
          </w:p>
        </w:tc>
        <w:tc>
          <w:tcPr>
            <w:tcW w:type="dxa" w:w="1728"/>
          </w:tcPr>
          <w:p>
            <w:r>
              <w:t>11x EV/EBITDA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Downside</w:t>
            </w:r>
          </w:p>
        </w:tc>
        <w:tc>
          <w:tcPr>
            <w:tcW w:type="dxa" w:w="1728"/>
          </w:tcPr>
          <w:p>
            <w:r>
              <w:t>2%</w:t>
            </w:r>
          </w:p>
        </w:tc>
        <w:tc>
          <w:tcPr>
            <w:tcW w:type="dxa" w:w="1728"/>
          </w:tcPr>
          <w:p>
            <w:r>
              <w:t>-4.5%</w:t>
            </w:r>
          </w:p>
        </w:tc>
        <w:tc>
          <w:tcPr>
            <w:tcW w:type="dxa" w:w="1728"/>
          </w:tcPr>
          <w:p>
            <w:r>
              <w:t>8x EV/EBITDA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Distress</w:t>
            </w:r>
          </w:p>
        </w:tc>
        <w:tc>
          <w:tcPr>
            <w:tcW w:type="dxa" w:w="1728"/>
          </w:tcPr>
          <w:p>
            <w:r>
              <w:t>-5%</w:t>
            </w:r>
          </w:p>
        </w:tc>
        <w:tc>
          <w:tcPr>
            <w:tcW w:type="dxa" w:w="1728"/>
          </w:tcPr>
          <w:p>
            <w:r>
              <w:t>-3.2%</w:t>
            </w:r>
          </w:p>
        </w:tc>
        <w:tc>
          <w:tcPr>
            <w:tcW w:type="dxa" w:w="1728"/>
          </w:tcPr>
          <w:p>
            <w:r>
              <w:t>5x EV/EBITDA</w:t>
            </w:r>
          </w:p>
        </w:tc>
        <w:tc>
          <w:tcPr>
            <w:tcW w:type="dxa" w:w="1728"/>
          </w:tcPr>
          <w:p>
            <w:r>
              <w:t>5%</w:t>
            </w:r>
          </w:p>
        </w:tc>
      </w:tr>
    </w:tbl>
    <w:p>
      <w:pPr>
        <w:pStyle w:val="Heading1"/>
      </w:pPr>
      <w:r>
        <w:t>Scenario Valuation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Value/Share</w:t>
            </w:r>
          </w:p>
        </w:tc>
        <w:tc>
          <w:tcPr>
            <w:tcW w:type="dxa" w:w="2160"/>
          </w:tcPr>
          <w:p>
            <w:r>
              <w:t>vs Current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</w:tr>
      <w:tr>
        <w:tc>
          <w:tcPr>
            <w:tcW w:type="dxa" w:w="2160"/>
          </w:tcPr>
          <w:p>
            <w:r>
              <w:t>Hypergrowth</w:t>
            </w:r>
          </w:p>
        </w:tc>
        <w:tc>
          <w:tcPr>
            <w:tcW w:type="dxa" w:w="2160"/>
          </w:tcPr>
          <w:p>
            <w:r>
              <w:t>$56.79</w:t>
            </w:r>
          </w:p>
        </w:tc>
        <w:tc>
          <w:tcPr>
            <w:tcW w:type="dxa" w:w="2160"/>
          </w:tcPr>
          <w:p>
            <w:r>
              <w:t>-89.5%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Accelerated Growth</w:t>
            </w:r>
          </w:p>
        </w:tc>
        <w:tc>
          <w:tcPr>
            <w:tcW w:type="dxa" w:w="2160"/>
          </w:tcPr>
          <w:p>
            <w:r>
              <w:t>$42.59</w:t>
            </w:r>
          </w:p>
        </w:tc>
        <w:tc>
          <w:tcPr>
            <w:tcW w:type="dxa" w:w="2160"/>
          </w:tcPr>
          <w:p>
            <w:r>
              <w:t>-92.1%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Base Case</w:t>
            </w:r>
          </w:p>
        </w:tc>
        <w:tc>
          <w:tcPr>
            <w:tcW w:type="dxa" w:w="2160"/>
          </w:tcPr>
          <w:p>
            <w:r>
              <w:t>$31.55</w:t>
            </w:r>
          </w:p>
        </w:tc>
        <w:tc>
          <w:tcPr>
            <w:tcW w:type="dxa" w:w="2160"/>
          </w:tcPr>
          <w:p>
            <w:r>
              <w:t>-94.2%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Downside</w:t>
            </w:r>
          </w:p>
        </w:tc>
        <w:tc>
          <w:tcPr>
            <w:tcW w:type="dxa" w:w="2160"/>
          </w:tcPr>
          <w:p>
            <w:r>
              <w:t>$20.51</w:t>
            </w:r>
          </w:p>
        </w:tc>
        <w:tc>
          <w:tcPr>
            <w:tcW w:type="dxa" w:w="2160"/>
          </w:tcPr>
          <w:p>
            <w:r>
              <w:t>-96.2%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Distress</w:t>
            </w:r>
          </w:p>
        </w:tc>
        <w:tc>
          <w:tcPr>
            <w:tcW w:type="dxa" w:w="2160"/>
          </w:tcPr>
          <w:p>
            <w:r>
              <w:t>$9.46</w:t>
            </w:r>
          </w:p>
        </w:tc>
        <w:tc>
          <w:tcPr>
            <w:tcW w:type="dxa" w:w="2160"/>
          </w:tcPr>
          <w:p>
            <w:r>
              <w:t>-98.2%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Probability-Weighted Valuation</w:t>
      </w:r>
    </w:p>
    <w:p>
      <w:r>
        <w:t>Probability-Weighted Value: $35.33 per share</w:t>
      </w:r>
    </w:p>
    <w:p>
      <w:r>
        <w:t>Current Price: $539.81</w:t>
      </w:r>
    </w:p>
    <w:p>
      <w:r>
        <w:t>Implied Upside: -93.5%</w:t>
      </w:r>
    </w:p>
    <w:p>
      <w:r>
        <w:br w:type="page"/>
      </w:r>
    </w:p>
    <w:p>
      <w:pPr>
        <w:pStyle w:val="Heading1"/>
      </w:pPr>
      <w:r>
        <w:t>Stress Testing Analysis</w:t>
      </w:r>
    </w:p>
    <w:p>
      <w:pPr>
        <w:pStyle w:val="Heading2"/>
      </w:pPr>
      <w:r>
        <w:t>Interest Rate Shock Scenarios</w:t>
      </w:r>
    </w:p>
    <w:p>
      <w:r>
        <w:t>Impact of +200bps rate increase:</w:t>
      </w:r>
    </w:p>
    <w:p>
      <w:pPr>
        <w:pStyle w:val="ListBullet"/>
      </w:pPr>
      <w:r>
        <w:t>• WACC increases from 12.65% to 14.65%</w:t>
      </w:r>
    </w:p>
    <w:p>
      <w:pPr>
        <w:pStyle w:val="ListBullet"/>
      </w:pPr>
      <w:r>
        <w:t>• Value per share decreases by ~15% to $26.82</w:t>
      </w:r>
    </w:p>
    <w:p>
      <w:pPr>
        <w:pStyle w:val="ListBullet"/>
      </w:pPr>
      <w:r>
        <w:t>• Covenant headroom sufficient (&gt;2.0x buffer)</w:t>
      </w:r>
    </w:p>
    <w:p>
      <w:pPr>
        <w:pStyle w:val="Heading2"/>
      </w:pPr>
      <w:r>
        <w:t>FX Shock Scenarios</w:t>
      </w:r>
    </w:p>
    <w:p>
      <w:r>
        <w:t>10% USD strengthening impact:</w:t>
      </w:r>
    </w:p>
    <w:p>
      <w:pPr>
        <w:pStyle w:val="ListBullet"/>
      </w:pPr>
      <w:r>
        <w:t>• International revenue (25% of total) decreases $65M</w:t>
      </w:r>
    </w:p>
    <w:p>
      <w:pPr>
        <w:pStyle w:val="ListBullet"/>
      </w:pPr>
      <w:r>
        <w:t>• EBITDA impact: -$15M (-5% of total)</w:t>
      </w:r>
    </w:p>
    <w:p>
      <w:pPr>
        <w:pStyle w:val="ListBullet"/>
      </w:pPr>
      <w:r>
        <w:t>• Hedging program limits exposure to 3%</w:t>
      </w:r>
    </w:p>
    <w:p>
      <w:pPr>
        <w:pStyle w:val="Heading2"/>
      </w:pPr>
      <w:r>
        <w:t>Supply Chain Disruption</w:t>
      </w:r>
    </w:p>
    <w:p>
      <w:r>
        <w:t>30% COGS increase scenario:</w:t>
      </w:r>
    </w:p>
    <w:p>
      <w:pPr>
        <w:pStyle w:val="ListBullet"/>
      </w:pPr>
      <w:r>
        <w:t>• Gross margin declines from 65% to 55%</w:t>
      </w:r>
    </w:p>
    <w:p>
      <w:pPr>
        <w:pStyle w:val="ListBullet"/>
      </w:pPr>
      <w:r>
        <w:t>• EBITDA margin declines from 30% to 22%</w:t>
      </w:r>
    </w:p>
    <w:p>
      <w:pPr>
        <w:pStyle w:val="ListBullet"/>
      </w:pPr>
      <w:r>
        <w:t>• Mitigation: Multi-source strategy reduces risk to 15%</w:t>
      </w:r>
    </w:p>
    <w:p>
      <w:r>
        <w:br w:type="page"/>
      </w:r>
    </w:p>
    <w:p>
      <w:pPr>
        <w:pStyle w:val="Heading1"/>
      </w:pPr>
      <w:r>
        <w:t>Distress / Bankruptcy Scenarios</w:t>
      </w:r>
    </w:p>
    <w:p>
      <w:pPr>
        <w:pStyle w:val="Heading2"/>
      </w:pPr>
      <w:r>
        <w:t>Covenant Breach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Covenant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Headroom</w:t>
            </w:r>
          </w:p>
        </w:tc>
        <w:tc>
          <w:tcPr>
            <w:tcW w:type="dxa" w:w="1728"/>
          </w:tcPr>
          <w:p>
            <w:r>
              <w:t>Breach Trigger</w:t>
            </w:r>
          </w:p>
        </w:tc>
      </w:tr>
      <w:tr>
        <w:tc>
          <w:tcPr>
            <w:tcW w:type="dxa" w:w="1728"/>
          </w:tcPr>
          <w:p>
            <w:r>
              <w:t>Leverage Ratio</w:t>
            </w:r>
          </w:p>
        </w:tc>
        <w:tc>
          <w:tcPr>
            <w:tcW w:type="dxa" w:w="1728"/>
          </w:tcPr>
          <w:p>
            <w:r>
              <w:t>2.1x</w:t>
            </w:r>
          </w:p>
        </w:tc>
        <w:tc>
          <w:tcPr>
            <w:tcW w:type="dxa" w:w="1728"/>
          </w:tcPr>
          <w:p>
            <w:r>
              <w:t>3.0x max</w:t>
            </w:r>
          </w:p>
        </w:tc>
        <w:tc>
          <w:tcPr>
            <w:tcW w:type="dxa" w:w="1728"/>
          </w:tcPr>
          <w:p>
            <w:r>
              <w:t>0.9x</w:t>
            </w:r>
          </w:p>
        </w:tc>
        <w:tc>
          <w:tcPr>
            <w:tcW w:type="dxa" w:w="1728"/>
          </w:tcPr>
          <w:p>
            <w:r>
              <w:t>EBITDA decline &gt;30%</w:t>
            </w:r>
          </w:p>
        </w:tc>
      </w:tr>
      <w:tr>
        <w:tc>
          <w:tcPr>
            <w:tcW w:type="dxa" w:w="1728"/>
          </w:tcPr>
          <w:p>
            <w:r>
              <w:t>Interest Coverage</w:t>
            </w:r>
          </w:p>
        </w:tc>
        <w:tc>
          <w:tcPr>
            <w:tcW w:type="dxa" w:w="1728"/>
          </w:tcPr>
          <w:p>
            <w:r>
              <w:t>5.2x</w:t>
            </w:r>
          </w:p>
        </w:tc>
        <w:tc>
          <w:tcPr>
            <w:tcW w:type="dxa" w:w="1728"/>
          </w:tcPr>
          <w:p>
            <w:r>
              <w:t>3.5x min</w:t>
            </w:r>
          </w:p>
        </w:tc>
        <w:tc>
          <w:tcPr>
            <w:tcW w:type="dxa" w:w="1728"/>
          </w:tcPr>
          <w:p>
            <w:r>
              <w:t>1.7x</w:t>
            </w:r>
          </w:p>
        </w:tc>
        <w:tc>
          <w:tcPr>
            <w:tcW w:type="dxa" w:w="1728"/>
          </w:tcPr>
          <w:p>
            <w:r>
              <w:t>EBITDA decline &gt;33%</w:t>
            </w:r>
          </w:p>
        </w:tc>
      </w:tr>
      <w:tr>
        <w:tc>
          <w:tcPr>
            <w:tcW w:type="dxa" w:w="1728"/>
          </w:tcPr>
          <w:p>
            <w:r>
              <w:t>Min Liquidity</w:t>
            </w:r>
          </w:p>
        </w:tc>
        <w:tc>
          <w:tcPr>
            <w:tcW w:type="dxa" w:w="1728"/>
          </w:tcPr>
          <w:p>
            <w:r>
              <w:t>$120M</w:t>
            </w:r>
          </w:p>
        </w:tc>
        <w:tc>
          <w:tcPr>
            <w:tcW w:type="dxa" w:w="1728"/>
          </w:tcPr>
          <w:p>
            <w:r>
              <w:t>$50M</w:t>
            </w:r>
          </w:p>
        </w:tc>
        <w:tc>
          <w:tcPr>
            <w:tcW w:type="dxa" w:w="1728"/>
          </w:tcPr>
          <w:p>
            <w:r>
              <w:t>$70M</w:t>
            </w:r>
          </w:p>
        </w:tc>
        <w:tc>
          <w:tcPr>
            <w:tcW w:type="dxa" w:w="1728"/>
          </w:tcPr>
          <w:p>
            <w:r>
              <w:t>Cash burn &gt;$70M</w:t>
            </w:r>
          </w:p>
        </w:tc>
      </w:tr>
    </w:tbl>
    <w:p>
      <w:pPr>
        <w:pStyle w:val="Heading2"/>
      </w:pPr>
      <w:r>
        <w:t>Liquidation Value Analysis</w:t>
      </w:r>
    </w:p>
    <w:p>
      <w:r>
        <w:t>Asset Recovery in Bankruptcy Scenario: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 Class</w:t>
            </w:r>
          </w:p>
        </w:tc>
        <w:tc>
          <w:tcPr>
            <w:tcW w:type="dxa" w:w="2880"/>
          </w:tcPr>
          <w:p>
            <w:r>
              <w:t>Book Value ($M)</w:t>
            </w:r>
          </w:p>
        </w:tc>
        <w:tc>
          <w:tcPr>
            <w:tcW w:type="dxa" w:w="2880"/>
          </w:tcPr>
          <w:p>
            <w:r>
              <w:t>Recovery %</w:t>
            </w:r>
          </w:p>
        </w:tc>
      </w:tr>
      <w:tr>
        <w:tc>
          <w:tcPr>
            <w:tcW w:type="dxa" w:w="2880"/>
          </w:tcPr>
          <w:p>
            <w:r>
              <w:t>Cash &amp; Equivalents</w:t>
            </w:r>
          </w:p>
        </w:tc>
        <w:tc>
          <w:tcPr>
            <w:tcW w:type="dxa" w:w="2880"/>
          </w:tcPr>
          <w:p>
            <w:r>
              <w:t>$273.3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Accounts Receivable</w:t>
            </w:r>
          </w:p>
        </w:tc>
        <w:tc>
          <w:tcPr>
            <w:tcW w:type="dxa" w:w="2880"/>
          </w:tcPr>
          <w:p>
            <w:r>
              <w:t>$546.5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$409.9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PP&amp;E</w:t>
            </w:r>
          </w:p>
        </w:tc>
        <w:tc>
          <w:tcPr>
            <w:tcW w:type="dxa" w:w="2880"/>
          </w:tcPr>
          <w:p>
            <w:r>
              <w:t>$819.8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Intangibles</w:t>
            </w:r>
          </w:p>
        </w:tc>
        <w:tc>
          <w:tcPr>
            <w:tcW w:type="dxa" w:w="2880"/>
          </w:tcPr>
          <w:p>
            <w:r>
              <w:t>$683.1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1"/>
      </w:pPr>
      <w:r>
        <w:t>Value-at-Risk Summary</w:t>
      </w:r>
    </w:p>
    <w:p>
      <w:r>
        <w:t>Base Case Value: $31.55/share</w:t>
      </w:r>
    </w:p>
    <w:p>
      <w:r>
        <w:t>95% Confidence Floor: $15.77/share</w:t>
      </w:r>
    </w:p>
    <w:p>
      <w:r>
        <w:t>99% Confidence Floor: $11.04/share</w:t>
      </w:r>
    </w:p>
    <w:p>
      <w:r>
        <w:t>Liquidation Floor: $7.89/share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