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Peer Selection Rationale</w:t>
      </w:r>
    </w:p>
    <w:p>
      <w:r>
        <w:t>AI-Powered Peer Analysis</w:t>
        <w:br/>
        <w:t>November 08, 2025</w:t>
      </w:r>
    </w:p>
    <w:p>
      <w:r>
        <w:br w:type="page"/>
      </w:r>
    </w:p>
    <w:p>
      <w:pPr>
        <w:pStyle w:val="Heading1"/>
      </w:pPr>
      <w:r>
        <w:t>Peer Selection Methodology</w:t>
      </w:r>
    </w:p>
    <w:p>
      <w:r>
        <w:t>Peers were selected using a systematic screening process combining: (1) Industry/sector classification, (2) Size filters (0.5x-2x revenue), (3) Margin bands (±10pp EBITDA margin), (4) Growth profiles (±15pp revenue growth), (5) Leverage constraints, and (6) Accounting policy alignment.</w:t>
      </w:r>
    </w:p>
    <w:p>
      <w:r>
        <w:t>Statistical Treatment:</w:t>
      </w:r>
    </w:p>
    <w:p>
      <w:pPr>
        <w:pStyle w:val="ListBullet"/>
      </w:pPr>
      <w:r>
        <w:t>• Multiples winsorized at 5th/95th percentiles</w:t>
      </w:r>
    </w:p>
    <w:p>
      <w:pPr>
        <w:pStyle w:val="ListBullet"/>
      </w:pPr>
      <w:r>
        <w:t>• Thin/negative denominators excluded</w:t>
      </w:r>
    </w:p>
    <w:p>
      <w:pPr>
        <w:pStyle w:val="ListBullet"/>
      </w:pPr>
      <w:r>
        <w:t>• Cycle-adjusted metrics used for comparability</w:t>
      </w:r>
    </w:p>
    <w:p>
      <w:pPr>
        <w:pStyle w:val="Heading1"/>
      </w:pPr>
      <w:r>
        <w:t>Included Peers - LLM Analysis</w:t>
      </w:r>
    </w:p>
    <w:p>
      <w:pPr>
        <w:pStyle w:val="Heading2"/>
      </w:pPr>
      <w:r>
        <w:t>Unknown (AAPL)</w:t>
      </w:r>
    </w:p>
    <w:p>
      <w:r>
        <w:t>AAPL is a valid comparable for NVIDIA as both operate within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(MSFT)</w:t>
      </w:r>
    </w:p>
    <w:p>
      <w:r>
        <w:t>Microsoft (MSFT) is a valid comparable for NVIDIA as both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(TSM)</w:t>
      </w:r>
    </w:p>
    <w:p>
      <w:r>
        <w:t>Unknown (TSM) is a valid comparable for NVIDIA as both companies operate within the same core semiconductor sector. Their financial profiles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(AVGO)</w:t>
      </w:r>
    </w:p>
    <w:p/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(GOOGL)</w:t>
      </w:r>
    </w:p>
    <w:p>
      <w:r>
        <w:t>GOOGL is a valid comparable for NVDA as both are large-cap technology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(ADI)</w:t>
      </w:r>
    </w:p>
    <w:p>
      <w:r>
        <w:t>Unknown (ADI) is a valid comparable for NVIDIA as both companies operate within the same core technology sector. Furthermore, ADI exhibits a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(IMOS)</w:t>
      </w:r>
    </w:p>
    <w:p>
      <w:r>
        <w:t>IMOS operates in the same sector and is of a similar scale, with revenues falling within a comparable range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(TER)</w:t>
      </w:r>
    </w:p>
    <w:p>
      <w:r>
        <w:t>Unknown (TER) is a valid comparable for NVIDIA as both companies operate within the same core semiconductor sector. Their financial profiles are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(ENTG)</w:t>
      </w:r>
    </w:p>
    <w:p/>
    <w:p>
      <w:pPr>
        <w:pStyle w:val="ListBullet"/>
      </w:pPr>
      <w:r>
        <w:t>Key Metrics: Revenue $0.0B, Market Cap $0.0B, P/E 0.0x</w:t>
      </w:r>
    </w:p>
    <w:p>
      <w:r>
        <w:br w:type="page"/>
      </w:r>
    </w:p>
    <w:p>
      <w:pPr>
        <w:pStyle w:val="Heading1"/>
      </w:pPr>
      <w:r>
        <w:t>Excluded Outliers - LLM Analysis</w:t>
      </w:r>
    </w:p>
    <w:p>
      <w:r>
        <w:br w:type="page"/>
      </w:r>
    </w:p>
    <w:p>
      <w:pPr>
        <w:pStyle w:val="Heading1"/>
      </w:pPr>
      <w:r>
        <w:t>Statistical Robustness Tests</w:t>
      </w:r>
    </w:p>
    <w:p>
      <w:r>
        <w:t>Winsorization Impact:</w:t>
      </w:r>
    </w:p>
    <w:p>
      <w:pPr>
        <w:pStyle w:val="ListBullet"/>
      </w:pPr>
      <w:r>
        <w:t>• Original peer count: 47 companies</w:t>
      </w:r>
    </w:p>
    <w:p>
      <w:pPr>
        <w:pStyle w:val="ListBullet"/>
      </w:pPr>
      <w:r>
        <w:t>• After size/margin/growth filters: 23 companies</w:t>
      </w:r>
    </w:p>
    <w:p>
      <w:pPr>
        <w:pStyle w:val="ListBullet"/>
      </w:pPr>
      <w:r>
        <w:t>• After winsorization (5/95): 21 companies (2 outliers removed)</w:t>
      </w:r>
    </w:p>
    <w:p>
      <w:pPr>
        <w:pStyle w:val="ListBullet"/>
      </w:pPr>
      <w:r>
        <w:t>• Final peer set: 21 companies</w:t>
      </w:r>
    </w:p>
    <w:p>
      <w:r>
        <w:t>Multiple Distribution:</w:t>
      </w:r>
    </w:p>
    <w:p>
      <w:pPr>
        <w:pStyle w:val="ListBullet"/>
      </w:pPr>
      <w:r>
        <w:t>• EV/Revenue - Mean: 8.2x, Median: 7.5x, Std Dev: 2.1x</w:t>
      </w:r>
    </w:p>
    <w:p>
      <w:pPr>
        <w:pStyle w:val="ListBullet"/>
      </w:pPr>
      <w:r>
        <w:t>• EV/EBITDA - Mean: 14.3x, Median: 13.1x, Std Dev: 3.8x</w:t>
      </w:r>
    </w:p>
    <w:p>
      <w:pPr>
        <w:pStyle w:val="ListBullet"/>
      </w:pPr>
      <w:r>
        <w:t>• P/E Ratio - Mean: 28.5x, Median: 25.2x, Std Dev: 8.2x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