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NVIDIA Corporation (nvda) - Investment Tear Sheet</w:t>
      </w:r>
    </w:p>
    <w:p>
      <w:pPr>
        <w:jc w:val="center"/>
      </w:pPr>
      <w:r>
        <w:rPr>
          <w:i/>
          <w:sz w:val="24"/>
        </w:rPr>
        <w:t>Comprehensive Valuation &amp; Investment Analysis</w:t>
      </w:r>
    </w:p>
    <w:p>
      <w:pPr>
        <w:jc w:val="center"/>
      </w:pPr>
      <w:r>
        <w:t>November 08, 2025</w:t>
      </w:r>
    </w:p>
    <w:p>
      <w:pPr>
        <w:pStyle w:val="Heading1"/>
      </w:pPr>
      <w:r>
        <w:t>Executive Summary</w:t>
      </w:r>
    </w:p>
    <w:p>
      <w:r>
        <w:t>NVIDIA Corporation (nvda) is a leading company trading at $188.15 per share with a market capitalization of $4580.89B. Our comprehensive analysis across multiple valuation methodologies suggests nvda presents an attractive investment opportunity. The company generated $16.68B in revenue with strong operational metrics. nvda's intrinsic value is estimated at $43.50 per share (blended average), implying -76.9% upside potential from current levels.</w:t>
      </w:r>
    </w:p>
    <w:p>
      <w:pPr>
        <w:pStyle w:val="Heading1"/>
      </w:pPr>
      <w:r>
        <w:t>Valuation Summary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Method</w:t>
            </w:r>
          </w:p>
        </w:tc>
        <w:tc>
          <w:tcPr>
            <w:tcW w:type="dxa" w:w="1728"/>
          </w:tcPr>
          <w:p>
            <w:r>
              <w:t>Low ($)</w:t>
            </w:r>
          </w:p>
        </w:tc>
        <w:tc>
          <w:tcPr>
            <w:tcW w:type="dxa" w:w="1728"/>
          </w:tcPr>
          <w:p>
            <w:r>
              <w:t>Mid ($)</w:t>
            </w:r>
          </w:p>
        </w:tc>
        <w:tc>
          <w:tcPr>
            <w:tcW w:type="dxa" w:w="1728"/>
          </w:tcPr>
          <w:p>
            <w:r>
              <w:t>High ($)</w:t>
            </w:r>
          </w:p>
        </w:tc>
        <w:tc>
          <w:tcPr>
            <w:tcW w:type="dxa" w:w="1728"/>
          </w:tcPr>
          <w:p>
            <w:r>
              <w:t>Implied Value</w:t>
            </w:r>
          </w:p>
        </w:tc>
      </w:tr>
      <w:tr>
        <w:tc>
          <w:tcPr>
            <w:tcW w:type="dxa" w:w="1728"/>
          </w:tcPr>
          <w:p>
            <w:r>
              <w:t>Discounted Cash Flow (DCF)</w:t>
            </w:r>
          </w:p>
        </w:tc>
        <w:tc>
          <w:tcPr>
            <w:tcW w:type="dxa" w:w="1728"/>
          </w:tcPr>
          <w:p>
            <w:r>
              <w:t>$4.27</w:t>
            </w:r>
          </w:p>
        </w:tc>
        <w:tc>
          <w:tcPr>
            <w:tcW w:type="dxa" w:w="1728"/>
          </w:tcPr>
          <w:p>
            <w:r>
              <w:t>$4.74</w:t>
            </w:r>
          </w:p>
        </w:tc>
        <w:tc>
          <w:tcPr>
            <w:tcW w:type="dxa" w:w="1728"/>
          </w:tcPr>
          <w:p>
            <w:r>
              <w:t>$5.21</w:t>
            </w:r>
          </w:p>
        </w:tc>
        <w:tc>
          <w:tcPr>
            <w:tcW w:type="dxa" w:w="1728"/>
          </w:tcPr>
          <w:p>
            <w:r>
              <w:t>$4.74</w:t>
            </w:r>
          </w:p>
        </w:tc>
      </w:tr>
      <w:tr>
        <w:tc>
          <w:tcPr>
            <w:tcW w:type="dxa" w:w="1728"/>
          </w:tcPr>
          <w:p>
            <w:r>
              <w:t>Comparable Companies Analysis</w:t>
            </w:r>
          </w:p>
        </w:tc>
        <w:tc>
          <w:tcPr>
            <w:tcW w:type="dxa" w:w="1728"/>
          </w:tcPr>
          <w:p>
            <w:r>
              <w:t>$69.93</w:t>
            </w:r>
          </w:p>
        </w:tc>
        <w:tc>
          <w:tcPr>
            <w:tcW w:type="dxa" w:w="1728"/>
          </w:tcPr>
          <w:p>
            <w:r>
              <w:t>$82.27</w:t>
            </w:r>
          </w:p>
        </w:tc>
        <w:tc>
          <w:tcPr>
            <w:tcW w:type="dxa" w:w="1728"/>
          </w:tcPr>
          <w:p>
            <w:r>
              <w:t>$94.61</w:t>
            </w:r>
          </w:p>
        </w:tc>
        <w:tc>
          <w:tcPr>
            <w:tcW w:type="dxa" w:w="1728"/>
          </w:tcPr>
          <w:p>
            <w:r>
              <w:t>$82.27</w:t>
            </w:r>
          </w:p>
        </w:tc>
      </w:tr>
      <w:tr>
        <w:tc>
          <w:tcPr>
            <w:tcW w:type="dxa" w:w="1728"/>
          </w:tcPr>
          <w:p>
            <w:r>
              <w:t>Current Market Price</w:t>
            </w:r>
          </w:p>
        </w:tc>
        <w:tc>
          <w:tcPr>
            <w:tcW w:type="dxa" w:w="1728"/>
          </w:tcPr>
          <w:p>
            <w:r>
              <w:t>$188.15</w:t>
            </w:r>
          </w:p>
        </w:tc>
        <w:tc>
          <w:tcPr>
            <w:tcW w:type="dxa" w:w="1728"/>
          </w:tcPr>
          <w:p>
            <w:r>
              <w:t>$188.15</w:t>
            </w:r>
          </w:p>
        </w:tc>
        <w:tc>
          <w:tcPr>
            <w:tcW w:type="dxa" w:w="1728"/>
          </w:tcPr>
          <w:p>
            <w:r>
              <w:t>$188.15</w:t>
            </w:r>
          </w:p>
        </w:tc>
        <w:tc>
          <w:tcPr>
            <w:tcW w:type="dxa" w:w="1728"/>
          </w:tcPr>
          <w:p>
            <w:r>
              <w:t>$188.15</w:t>
            </w:r>
          </w:p>
        </w:tc>
      </w:tr>
    </w:tbl>
    <w:p>
      <w:pPr>
        <w:pStyle w:val="Heading1"/>
      </w:pPr>
      <w:r>
        <w:t>Financial Highlights - nvda</w:t>
      </w:r>
    </w:p>
    <w:p>
      <w:r>
        <w:t>The following table presents NVIDIA Corporation's (nvda) key financial metrics demonstrating strong operational performance:</w:t>
      </w:r>
    </w:p>
    <w:tbl>
      <w:tblPr>
        <w:tblStyle w:val="LightShading-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LTM Revenue</w:t>
            </w:r>
          </w:p>
        </w:tc>
        <w:tc>
          <w:tcPr>
            <w:tcW w:type="dxa" w:w="4320"/>
          </w:tcPr>
          <w:p>
            <w:r>
              <w:t>$16.68B</w:t>
            </w:r>
          </w:p>
        </w:tc>
      </w:tr>
      <w:tr>
        <w:tc>
          <w:tcPr>
            <w:tcW w:type="dxa" w:w="4320"/>
          </w:tcPr>
          <w:p>
            <w:r>
              <w:t>LTM EBITDA</w:t>
            </w:r>
          </w:p>
        </w:tc>
        <w:tc>
          <w:tcPr>
            <w:tcW w:type="dxa" w:w="4320"/>
          </w:tcPr>
          <w:p>
            <w:r>
              <w:t>$5.69B</w:t>
            </w:r>
          </w:p>
        </w:tc>
      </w:tr>
      <w:tr>
        <w:tc>
          <w:tcPr>
            <w:tcW w:type="dxa" w:w="4320"/>
          </w:tcPr>
          <w:p>
            <w:r>
              <w:t>EBITDA Margin</w:t>
            </w:r>
          </w:p>
        </w:tc>
        <w:tc>
          <w:tcPr>
            <w:tcW w:type="dxa" w:w="4320"/>
          </w:tcPr>
          <w:p>
            <w:r>
              <w:t>34.1%</w:t>
            </w:r>
          </w:p>
        </w:tc>
      </w:tr>
      <w:tr>
        <w:tc>
          <w:tcPr>
            <w:tcW w:type="dxa" w:w="4320"/>
          </w:tcPr>
          <w:p>
            <w:r>
              <w:t>LTM Free Cash Flow</w:t>
            </w:r>
          </w:p>
        </w:tc>
        <w:tc>
          <w:tcPr>
            <w:tcW w:type="dxa" w:w="4320"/>
          </w:tcPr>
          <w:p>
            <w:r>
              <w:t>$4.69B</w:t>
            </w:r>
          </w:p>
        </w:tc>
      </w:tr>
      <w:tr>
        <w:tc>
          <w:tcPr>
            <w:tcW w:type="dxa" w:w="4320"/>
          </w:tcPr>
          <w:p>
            <w:r>
              <w:t>Market Capitalization</w:t>
            </w:r>
          </w:p>
        </w:tc>
        <w:tc>
          <w:tcPr>
            <w:tcW w:type="dxa" w:w="4320"/>
          </w:tcPr>
          <w:p>
            <w:r>
              <w:t>$4580.89B</w:t>
            </w:r>
          </w:p>
        </w:tc>
      </w:tr>
      <w:tr>
        <w:tc>
          <w:tcPr>
            <w:tcW w:type="dxa" w:w="4320"/>
          </w:tcPr>
          <w:p>
            <w:r>
              <w:t>EPS (TTM)</w:t>
            </w:r>
          </w:p>
        </w:tc>
        <w:tc>
          <w:tcPr>
            <w:tcW w:type="dxa" w:w="4320"/>
          </w:tcPr>
          <w:p>
            <w:r>
              <w:t>$3.52</w:t>
            </w:r>
          </w:p>
        </w:tc>
      </w:tr>
    </w:tbl>
    <w:p>
      <w:pPr>
        <w:pStyle w:val="Heading1"/>
      </w:pPr>
      <w:r>
        <w:t>Investment Thesis for nvda</w:t>
      </w:r>
    </w:p>
    <w:p>
      <w:r>
        <w:t>Our comprehensive analysis of NVIDIA Corporation (nvda) identifies the following compelling investment highlights that support a positive investment recommendation:</w:t>
      </w:r>
    </w:p>
    <w:p>
      <w:pPr>
        <w:pStyle w:val="ListBullet"/>
      </w:pPr>
      <w:r>
        <w:t>• Market Leadership: NVIDIA Corporation (nvda) maintains a strong competitive position with sustainable advantages in its core markets</w:t>
      </w:r>
    </w:p>
    <w:p>
      <w:pPr>
        <w:pStyle w:val="ListBullet"/>
      </w:pPr>
      <w:r>
        <w:t>• Financial Performance: nvda demonstrates robust financial metrics with consistent revenue growth and strong profitability margins</w:t>
      </w:r>
    </w:p>
    <w:p>
      <w:pPr>
        <w:pStyle w:val="ListBullet"/>
      </w:pPr>
      <w:r>
        <w:t>• Valuation Opportunity: Current market valuation of nvda presents an attractive entry point relative to intrinsic value estimates</w:t>
      </w:r>
    </w:p>
    <w:p>
      <w:pPr>
        <w:pStyle w:val="ListBullet"/>
      </w:pPr>
      <w:r>
        <w:t>• Growth Catalysts: NVIDIA Corporation has multiple near-term catalysts that could drive nvda stock appreciation</w:t>
      </w:r>
    </w:p>
    <w:p>
      <w:pPr>
        <w:pStyle w:val="ListBullet"/>
      </w:pPr>
      <w:r>
        <w:t>• Strong Cash Generation: nvda generates substantial free cash flow enabling strategic investments and shareholder returns</w:t>
      </w:r>
    </w:p>
    <w:p>
      <w:pPr>
        <w:pStyle w:val="ListBullet"/>
      </w:pPr>
      <w:r>
        <w:t>• Operational Excellence: NVIDIA Corporation's operational efficiency and execution track record support continued outperformance</w:t>
      </w:r>
    </w:p>
    <w:p>
      <w:pPr>
        <w:pStyle w:val="Heading1"/>
      </w:pPr>
      <w:r>
        <w:t>Key Investment Risks - nvda</w:t>
      </w:r>
    </w:p>
    <w:p>
      <w:r>
        <w:t>While NVIDIA Corporation (nvda) presents an attractive investment opportunity, investors should carefully consider the following risk factors:</w:t>
      </w:r>
    </w:p>
    <w:p>
      <w:pPr>
        <w:pStyle w:val="ListBullet"/>
      </w:pPr>
      <w:r>
        <w:t>• Market Competition: Intensifying competition in nvda's core markets could pressure pricing and market share</w:t>
      </w:r>
    </w:p>
    <w:p>
      <w:pPr>
        <w:pStyle w:val="ListBullet"/>
      </w:pPr>
      <w:r>
        <w:t>• Regulatory Environment: Changes in regulatory landscape may impact NVIDIA Corporation's operations and profitability</w:t>
      </w:r>
    </w:p>
    <w:p>
      <w:pPr>
        <w:pStyle w:val="ListBullet"/>
      </w:pPr>
      <w:r>
        <w:t>• Execution Risk: Ability of nvda management to successfully execute on strategic initiatives and growth plans</w:t>
      </w:r>
    </w:p>
    <w:p>
      <w:pPr>
        <w:pStyle w:val="ListBullet"/>
      </w:pPr>
      <w:r>
        <w:t>• Macroeconomic Factors: Economic headwinds could negatively impact demand for NVIDIA Corporation's products/services</w:t>
      </w:r>
    </w:p>
    <w:p>
      <w:pPr>
        <w:pStyle w:val="ListBullet"/>
      </w:pPr>
      <w:r>
        <w:t>• Technology Disruption: Rapid technological changes pose risks to nvda's current business model</w:t>
      </w:r>
    </w:p>
    <w:p>
      <w:pPr>
        <w:pStyle w:val="ListBullet"/>
      </w:pPr>
      <w:r>
        <w:t>• Key Personnel: Loss of key executives or talent at NVIDIA Corporation could impact operational performance</w:t>
      </w:r>
    </w:p>
    <w:p>
      <w:pPr>
        <w:pStyle w:val="Heading1"/>
      </w:pPr>
      <w:r>
        <w:t>Near-Term Catalysts for nvda</w:t>
      </w:r>
    </w:p>
    <w:p>
      <w:pPr>
        <w:pStyle w:val="ListBullet"/>
      </w:pPr>
      <w:r>
        <w:t>• Product Innovation: New product launches could drive revenue acceleration for NVIDIA Corporation</w:t>
      </w:r>
    </w:p>
    <w:p>
      <w:pPr>
        <w:pStyle w:val="ListBullet"/>
      </w:pPr>
      <w:r>
        <w:t>• Market Expansion: Geographic and vertical market expansion opportunities for nvda</w:t>
      </w:r>
    </w:p>
    <w:p>
      <w:pPr>
        <w:pStyle w:val="ListBullet"/>
      </w:pPr>
      <w:r>
        <w:t>• Margin Improvement: Operational efficiency initiatives expected to enhance NVIDIA Corporation's profitability</w:t>
      </w:r>
    </w:p>
    <w:p>
      <w:pPr>
        <w:pStyle w:val="ListBullet"/>
      </w:pPr>
      <w:r>
        <w:t>• Strategic Partnerships: Potential collaborations that could expand nvda's market reach</w:t>
      </w:r>
    </w:p>
    <w:p>
      <w:pPr>
        <w:pStyle w:val="ListBullet"/>
      </w:pPr>
      <w:r>
        <w:t>• Earnings Momentum: Continued earnings growth could drive multiple expansion for nvda</w:t>
      </w:r>
    </w:p>
    <w:p>
      <w:pPr>
        <w:pStyle w:val="Heading1"/>
      </w:pPr>
      <w:r>
        <w:t>Investment Recommendation</w:t>
      </w:r>
    </w:p>
    <w:p>
      <w:r>
        <w:t>Based on our comprehensive analysis, we recommend NVIDIA Corporation (nvda) as an attractive investment opportunity. Our DCF valuation indicates a fair value of $4.74 per share, representing 97.5% from current potential from the current market price of $188.15. nvda's strong fundamentals, competitive positioning, and attractive valuation metrics support a positive investment thesis for NVIDIA Corporation.</w:t>
      </w:r>
    </w:p>
    <w:p/>
    <w:p>
      <w:r>
        <w:rPr>
          <w:i/>
          <w:sz w:val="16"/>
        </w:rPr>
        <w:t>This tear sheet provides a summary analysis of NVIDIA Corporation (nvda) and should not be considered investment advice. All valuations and projections are subject to change based on market conditions and company performance. Investors should conduct their own due diligence before making investment decisions regarding nvda.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