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Commercial Due Diligence Pack</w:t>
      </w:r>
    </w:p>
    <w:p>
      <w:r>
        <w:t>Customer &amp; Market Analysis</w:t>
        <w:br/>
        <w:t>November 07, 2025</w:t>
      </w:r>
    </w:p>
    <w:p>
      <w:r>
        <w:br w:type="page"/>
      </w:r>
    </w:p>
    <w:p>
      <w:pPr>
        <w:pStyle w:val="Heading1"/>
      </w:pPr>
      <w:r>
        <w:t>Customer Cohort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Cohort</w:t>
            </w:r>
          </w:p>
        </w:tc>
        <w:tc>
          <w:tcPr>
            <w:tcW w:type="dxa" w:w="1440"/>
          </w:tcPr>
          <w:p>
            <w:r>
              <w:t># Customers</w:t>
            </w:r>
          </w:p>
        </w:tc>
        <w:tc>
          <w:tcPr>
            <w:tcW w:type="dxa" w:w="1440"/>
          </w:tcPr>
          <w:p>
            <w:r>
              <w:t>Revenue ($M)</w:t>
            </w:r>
          </w:p>
        </w:tc>
        <w:tc>
          <w:tcPr>
            <w:tcW w:type="dxa" w:w="1440"/>
          </w:tcPr>
          <w:p>
            <w:r>
              <w:t>Avg Deal Size</w:t>
            </w:r>
          </w:p>
        </w:tc>
        <w:tc>
          <w:tcPr>
            <w:tcW w:type="dxa" w:w="1440"/>
          </w:tcPr>
          <w:p>
            <w:r>
              <w:t>Retention %</w:t>
            </w:r>
          </w:p>
        </w:tc>
        <w:tc>
          <w:tcPr>
            <w:tcW w:type="dxa" w:w="1440"/>
          </w:tcPr>
          <w:p>
            <w:r>
              <w:t>LTV/CAC</w:t>
            </w:r>
          </w:p>
        </w:tc>
      </w:tr>
      <w:tr>
        <w:tc>
          <w:tcPr>
            <w:tcW w:type="dxa" w:w="1440"/>
          </w:tcPr>
          <w:p>
            <w:r>
              <w:t>Enterprise (&gt;$1B)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$450.0</w:t>
            </w:r>
          </w:p>
        </w:tc>
        <w:tc>
          <w:tcPr>
            <w:tcW w:type="dxa" w:w="1440"/>
          </w:tcPr>
          <w:p>
            <w:r>
              <w:t>$3.00M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8.5x</w:t>
            </w:r>
          </w:p>
        </w:tc>
      </w:tr>
      <w:tr>
        <w:tc>
          <w:tcPr>
            <w:tcW w:type="dxa" w:w="1440"/>
          </w:tcPr>
          <w:p>
            <w:r>
              <w:t>Mid-Market ($100M-$1B)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$380.0</w:t>
            </w:r>
          </w:p>
        </w:tc>
        <w:tc>
          <w:tcPr>
            <w:tcW w:type="dxa" w:w="1440"/>
          </w:tcPr>
          <w:p>
            <w:r>
              <w:t>$0.76M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6.2x</w:t>
            </w:r>
          </w:p>
        </w:tc>
      </w:tr>
      <w:tr>
        <w:tc>
          <w:tcPr>
            <w:tcW w:type="dxa" w:w="1440"/>
          </w:tcPr>
          <w:p>
            <w:r>
              <w:t>SMB (&lt;$100M)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$215.0</w:t>
            </w:r>
          </w:p>
        </w:tc>
        <w:tc>
          <w:tcPr>
            <w:tcW w:type="dxa" w:w="1440"/>
          </w:tcPr>
          <w:p>
            <w:r>
              <w:t>$0.09M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4.1x</w:t>
            </w:r>
          </w:p>
        </w:tc>
      </w:tr>
    </w:tbl>
    <w:p>
      <w:pPr>
        <w:pStyle w:val="Heading1"/>
      </w:pPr>
      <w:r>
        <w:t>Market Position Analysis</w:t>
      </w:r>
    </w:p>
    <w:p>
      <w:r>
        <w:t>Competitive Positioning:</w:t>
      </w:r>
    </w:p>
    <w:p>
      <w:pPr>
        <w:pStyle w:val="ListBullet"/>
      </w:pPr>
      <w:r>
        <w:t>• Market leader in enterprise segment with 35% share</w:t>
      </w:r>
    </w:p>
    <w:p>
      <w:pPr>
        <w:pStyle w:val="ListBullet"/>
      </w:pPr>
      <w:r>
        <w:t>• Strong brand recognition (95% aided awareness)</w:t>
      </w:r>
    </w:p>
    <w:p>
      <w:pPr>
        <w:pStyle w:val="ListBullet"/>
      </w:pPr>
      <w:r>
        <w:t>• Net promoter score: 68 (Industry avg: 45)</w:t>
      </w:r>
    </w:p>
    <w:p>
      <w:r>
        <w:t>Growth Drivers:</w:t>
      </w:r>
    </w:p>
    <w:p>
      <w:pPr>
        <w:pStyle w:val="ListBullet"/>
      </w:pPr>
      <w:r>
        <w:t>• Product innovation pipeline: 8 major releases planned</w:t>
      </w:r>
    </w:p>
    <w:p>
      <w:pPr>
        <w:pStyle w:val="ListBullet"/>
      </w:pPr>
      <w:r>
        <w:t>• Geographic expansion: Entering 12 new markets</w:t>
      </w:r>
    </w:p>
    <w:p>
      <w:pPr>
        <w:pStyle w:val="ListBullet"/>
      </w:pPr>
      <w:r>
        <w:t>• Upsell opportunities: 40% of customers eligible for premium tiers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