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Legal Due Diligence Pack</w:t>
      </w:r>
    </w:p>
    <w:p>
      <w:r>
        <w:t>Material Contracts &amp; Legal Analysis</w:t>
        <w:br/>
        <w:t>November 07, 2025</w:t>
      </w:r>
    </w:p>
    <w:p>
      <w:r>
        <w:br w:type="page"/>
      </w:r>
    </w:p>
    <w:p>
      <w:pPr>
        <w:pStyle w:val="Heading1"/>
      </w:pPr>
      <w:r>
        <w:t>Material Contracts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 Type</w:t>
            </w:r>
          </w:p>
        </w:tc>
        <w:tc>
          <w:tcPr>
            <w:tcW w:type="dxa" w:w="1728"/>
          </w:tcPr>
          <w:p>
            <w:r>
              <w:t>Counterparty</w:t>
            </w:r>
          </w:p>
        </w:tc>
        <w:tc>
          <w:tcPr>
            <w:tcW w:type="dxa" w:w="1728"/>
          </w:tcPr>
          <w:p>
            <w:r>
              <w:t>Value ($M)</w:t>
            </w:r>
          </w:p>
        </w:tc>
        <w:tc>
          <w:tcPr>
            <w:tcW w:type="dxa" w:w="1728"/>
          </w:tcPr>
          <w:p>
            <w:r>
              <w:t>Expiration</w:t>
            </w:r>
          </w:p>
        </w:tc>
        <w:tc>
          <w:tcPr>
            <w:tcW w:type="dxa" w:w="1728"/>
          </w:tcPr>
          <w:p>
            <w:r>
              <w:t>Key Terms / Page Refs</w:t>
            </w:r>
          </w:p>
        </w:tc>
      </w:tr>
      <w:tr>
        <w:tc>
          <w:tcPr>
            <w:tcW w:type="dxa" w:w="1728"/>
          </w:tcPr>
          <w:p>
            <w:r>
              <w:t>Customer Agreement</w:t>
            </w:r>
          </w:p>
        </w:tc>
        <w:tc>
          <w:tcPr>
            <w:tcW w:type="dxa" w:w="1728"/>
          </w:tcPr>
          <w:p>
            <w:r>
              <w:t>Major Customer A</w:t>
            </w:r>
          </w:p>
        </w:tc>
        <w:tc>
          <w:tcPr>
            <w:tcW w:type="dxa" w:w="1728"/>
          </w:tcPr>
          <w:p>
            <w:r>
              <w:t>$50.0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</w:tr>
      <w:tr>
        <w:tc>
          <w:tcPr>
            <w:tcW w:type="dxa" w:w="1728"/>
          </w:tcPr>
          <w:p>
            <w:r>
              <w:t>Supplier Agreement</w:t>
            </w:r>
          </w:p>
        </w:tc>
        <w:tc>
          <w:tcPr>
            <w:tcW w:type="dxa" w:w="1728"/>
          </w:tcPr>
          <w:p>
            <w:r>
              <w:t>Key Supplier B</w:t>
            </w:r>
          </w:p>
        </w:tc>
        <w:tc>
          <w:tcPr>
            <w:tcW w:type="dxa" w:w="1728"/>
          </w:tcPr>
          <w:p>
            <w:r>
              <w:t>$25.0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</w:tr>
      <w:tr>
        <w:tc>
          <w:tcPr>
            <w:tcW w:type="dxa" w:w="1728"/>
          </w:tcPr>
          <w:p>
            <w:r>
              <w:t>Credit Facility</w:t>
            </w:r>
          </w:p>
        </w:tc>
        <w:tc>
          <w:tcPr>
            <w:tcW w:type="dxa" w:w="1728"/>
          </w:tcPr>
          <w:p>
            <w:r>
              <w:t>Bank Syndicate</w:t>
            </w:r>
          </w:p>
        </w:tc>
        <w:tc>
          <w:tcPr>
            <w:tcW w:type="dxa" w:w="1728"/>
          </w:tcPr>
          <w:p>
            <w:r>
              <w:t>$500.0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</w:tr>
      <w:tr>
        <w:tc>
          <w:tcPr>
            <w:tcW w:type="dxa" w:w="1728"/>
          </w:tcPr>
          <w:p>
            <w:r>
              <w:t>Lease Agreement</w:t>
            </w:r>
          </w:p>
        </w:tc>
        <w:tc>
          <w:tcPr>
            <w:tcW w:type="dxa" w:w="1728"/>
          </w:tcPr>
          <w:p>
            <w:r>
              <w:t>Office Landlord</w:t>
            </w:r>
          </w:p>
        </w:tc>
        <w:tc>
          <w:tcPr>
            <w:tcW w:type="dxa" w:w="1728"/>
          </w:tcPr>
          <w:p>
            <w:r>
              <w:t>$15.0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</w:tr>
    </w:tbl>
    <w:p>
      <w:pPr>
        <w:pStyle w:val="Heading1"/>
      </w:pPr>
      <w:r>
        <w:t>Critical Contract Clauses</w:t>
      </w:r>
    </w:p>
    <w:p>
      <w:r>
        <w:t>Change of Control Provisions:</w:t>
      </w:r>
    </w:p>
    <w:p>
      <w:pPr>
        <w:pStyle w:val="ListBullet"/>
      </w:pPr>
      <w:r>
        <w:t>• Customer contracts: No CoC triggers identified</w:t>
      </w:r>
    </w:p>
    <w:p>
      <w:pPr>
        <w:pStyle w:val="ListBullet"/>
      </w:pPr>
      <w:r>
        <w:t>• Credit facility: Requires lender consent for M&amp;A (pp. 48-49)</w:t>
      </w:r>
    </w:p>
    <w:p>
      <w:pPr>
        <w:pStyle w:val="ListBullet"/>
      </w:pPr>
      <w:r>
        <w:t>• Supplier agreements: 30-day notification required (pp. 25)</w:t>
      </w:r>
    </w:p>
    <w:p>
      <w:r>
        <w:t>Covenant Analysis:</w:t>
      </w:r>
    </w:p>
    <w:p>
      <w:pPr>
        <w:pStyle w:val="ListBullet"/>
      </w:pPr>
      <w:r>
        <w:t>• Leverage covenant: 3.0x max (current: 2.1x)</w:t>
      </w:r>
    </w:p>
    <w:p>
      <w:pPr>
        <w:pStyle w:val="ListBullet"/>
      </w:pPr>
      <w:r>
        <w:t>• Interest coverage: 3.5x min (current: 5.2x)</w:t>
      </w:r>
    </w:p>
    <w:p>
      <w:pPr>
        <w:pStyle w:val="ListBullet"/>
      </w:pPr>
      <w:r>
        <w:t>• Minimum liquidity: $50M (current: $120M)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