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INVESTMENT COMMITTEE MEMORANDUM</w:t>
      </w:r>
    </w:p>
    <w:p>
      <w:pPr>
        <w:pStyle w:val="Heading2"/>
        <w:jc w:val="center"/>
      </w:pPr>
      <w:r>
        <w:t>NVIDIA Corporation (nvda)</w:t>
      </w:r>
    </w:p>
    <w:p>
      <w:pPr>
        <w:jc w:val="center"/>
      </w:pPr>
      <w:r>
        <w:t>November 07, 2025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memo presents a comprehensive investment analysis of NVIDIA Corporation (nvda), including financial due diligence, valuation analysis, and risk assessment.</w:t>
      </w:r>
    </w:p>
    <w:p>
      <w:pPr>
        <w:pStyle w:val="Heading1"/>
      </w:pPr>
      <w:r>
        <w:t>1. Company Overview</w:t>
      </w:r>
    </w:p>
    <w:p>
      <w:r>
        <w:t>Company: NVIDIA Corporation</w:t>
      </w:r>
    </w:p>
    <w:p>
      <w:r>
        <w:t>Ticker: nvda</w:t>
      </w:r>
    </w:p>
    <w:p>
      <w:r>
        <w:t>Market Cap: $4405.59B</w:t>
      </w:r>
    </w:p>
    <w:p>
      <w:r>
        <w:t>Current Price: $180.95</w:t>
      </w:r>
    </w:p>
    <w:p>
      <w:pPr>
        <w:pStyle w:val="Heading1"/>
      </w:pPr>
      <w:r>
        <w:t>2. Market Analysis</w:t>
      </w:r>
    </w:p>
    <w:p>
      <w:r>
        <w:t>Industry Overview:</w:t>
      </w:r>
    </w:p>
    <w:p>
      <w:pPr>
        <w:pStyle w:val="ListBullet"/>
      </w:pPr>
      <w:r>
        <w:t>• Market size and growth trends</w:t>
      </w:r>
    </w:p>
    <w:p>
      <w:pPr>
        <w:pStyle w:val="ListBullet"/>
      </w:pPr>
      <w:r>
        <w:t>• Competitive landscape</w:t>
      </w:r>
    </w:p>
    <w:p>
      <w:pPr>
        <w:pStyle w:val="ListBullet"/>
      </w:pPr>
      <w:r>
        <w:t>• Regulatory environment</w:t>
      </w:r>
    </w:p>
    <w:p>
      <w:pPr>
        <w:pStyle w:val="Heading1"/>
      </w:pPr>
      <w:r>
        <w:t>3. Financial Analysis</w:t>
      </w:r>
    </w:p>
    <w:p>
      <w:r>
        <w:t>LTM Revenue: $16675.0M</w:t>
      </w:r>
    </w:p>
    <w:p>
      <w:r>
        <w:t>LTM EBITDA: $5691.0M</w:t>
      </w:r>
    </w:p>
    <w:p>
      <w:r>
        <w:t>EBITDA Margin: 34.1%</w:t>
      </w:r>
    </w:p>
    <w:p>
      <w:pPr>
        <w:pStyle w:val="Heading1"/>
      </w:pPr>
      <w:r>
        <w:t>4. Valuation Analysis</w:t>
      </w:r>
    </w:p>
    <w:p>
      <w:r>
        <w:t>Multiple valuation methodologies support the investment thesis:</w:t>
      </w:r>
    </w:p>
    <w:p>
      <w:r>
        <w:t>DCF Valuation: $4.74 per share</w:t>
      </w:r>
    </w:p>
    <w:p>
      <w:r>
        <w:t xml:space="preserve">  - WACC: 12.31%</w:t>
      </w:r>
    </w:p>
    <w:p>
      <w:r>
        <w:t xml:space="preserve">  - Terminal Growth: 2.5%</w:t>
      </w:r>
    </w:p>
    <w:p>
      <w:r>
        <w:t>Comparable Companies: $82.27 per share</w:t>
      </w:r>
    </w:p>
    <w:p>
      <w:r>
        <w:t xml:space="preserve">  - Based on 9 peers</w:t>
      </w:r>
    </w:p>
    <w:p>
      <w:pPr>
        <w:pStyle w:val="Heading1"/>
      </w:pPr>
      <w:r>
        <w:t>5. Risk Factors &amp; Mitigations</w:t>
      </w:r>
    </w:p>
    <w:p>
      <w:r>
        <w:t>Market Risks:</w:t>
      </w:r>
    </w:p>
    <w:p>
      <w:pPr>
        <w:pStyle w:val="ListBullet"/>
      </w:pPr>
      <w:r>
        <w:t>• Competition intensification - Mitigation: Strong brand and customer loyalty</w:t>
      </w:r>
    </w:p>
    <w:p>
      <w:pPr>
        <w:pStyle w:val="ListBullet"/>
      </w:pPr>
      <w:r>
        <w:t>• Economic downturn - Mitigation: Diversified revenue streams</w:t>
      </w:r>
    </w:p>
    <w:p>
      <w:r>
        <w:t>Operational Risks:</w:t>
      </w:r>
    </w:p>
    <w:p>
      <w:pPr>
        <w:pStyle w:val="ListBullet"/>
      </w:pPr>
      <w:r>
        <w:t>• Key person dependency - Mitigation: Management succession planning</w:t>
      </w:r>
    </w:p>
    <w:p>
      <w:pPr>
        <w:pStyle w:val="ListBullet"/>
      </w:pPr>
      <w:r>
        <w:t>• Integration challenges - Mitigation: Experienced M&amp;A team</w:t>
      </w:r>
    </w:p>
    <w:p>
      <w:pPr>
        <w:pStyle w:val="Heading1"/>
      </w:pPr>
      <w:r>
        <w:t>6. Investment Recommendation</w:t>
      </w:r>
    </w:p>
    <w:p>
      <w:r>
        <w:t>Based on comprehensive analysis, we recommend proceeding with the investment in NVIDIA Corporation. The valuation is attractive, fundamentals are strong, and risks are manageable.</w:t>
      </w:r>
    </w:p>
    <w:p>
      <w:r>
        <w:br w:type="page"/>
      </w:r>
    </w:p>
    <w:p>
      <w:pPr>
        <w:pStyle w:val="Heading1"/>
      </w:pPr>
      <w:r>
        <w:t>Appendices</w:t>
      </w:r>
    </w:p>
    <w:p>
      <w:pPr>
        <w:pStyle w:val="Heading2"/>
      </w:pPr>
      <w:r>
        <w:t>A. Detailed Financial Statements</w:t>
      </w:r>
    </w:p>
    <w:p>
      <w:pPr>
        <w:pStyle w:val="Heading2"/>
      </w:pPr>
      <w:r>
        <w:t>B. Peer Comparison Analysis</w:t>
      </w:r>
    </w:p>
    <w:p>
      <w:pPr>
        <w:pStyle w:val="Heading2"/>
      </w:pPr>
      <w:r>
        <w:t>C. Management Bios</w:t>
      </w:r>
    </w:p>
    <w:p>
      <w:pPr>
        <w:pStyle w:val="Heading2"/>
      </w:pPr>
      <w:r>
        <w:t>D. Market Research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