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NVIDIA Corporation (nvda) - Investment Tear Sheet</w:t>
      </w:r>
    </w:p>
    <w:p>
      <w:pPr>
        <w:pStyle w:val="Heading1"/>
      </w:pPr>
      <w:r>
        <w:t>Valuation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Mid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Current Price</w:t>
            </w:r>
          </w:p>
        </w:tc>
      </w:tr>
      <w:tr>
        <w:tc>
          <w:tcPr>
            <w:tcW w:type="dxa" w:w="1728"/>
          </w:tcPr>
          <w:p>
            <w:r>
              <w:t>DCF</w:t>
            </w:r>
          </w:p>
        </w:tc>
        <w:tc>
          <w:tcPr>
            <w:tcW w:type="dxa" w:w="1728"/>
          </w:tcPr>
          <w:p>
            <w:r>
              <w:t>$4.27</w:t>
            </w:r>
          </w:p>
        </w:tc>
        <w:tc>
          <w:tcPr>
            <w:tcW w:type="dxa" w:w="1728"/>
          </w:tcPr>
          <w:p>
            <w:r>
              <w:t>$4.74</w:t>
            </w:r>
          </w:p>
        </w:tc>
        <w:tc>
          <w:tcPr>
            <w:tcW w:type="dxa" w:w="1728"/>
          </w:tcPr>
          <w:p>
            <w:r>
              <w:t>$5.21</w:t>
            </w:r>
          </w:p>
        </w:tc>
        <w:tc>
          <w:tcPr>
            <w:tcW w:type="dxa" w:w="1728"/>
          </w:tcPr>
          <w:p>
            <w:r>
              <w:t>$180.95</w:t>
            </w:r>
          </w:p>
        </w:tc>
      </w:tr>
    </w:tbl>
    <w:p>
      <w:pPr>
        <w:pStyle w:val="Heading1"/>
      </w:pPr>
      <w:r>
        <w:t>Investment Thesis</w:t>
      </w:r>
    </w:p>
    <w:p>
      <w:r>
        <w:t>Key investment highlights:</w:t>
      </w:r>
    </w:p>
    <w:p>
      <w:pPr>
        <w:pStyle w:val="ListBullet"/>
      </w:pPr>
      <w:r>
        <w:t>• Strong market position with competitive advantages</w:t>
      </w:r>
    </w:p>
    <w:p>
      <w:pPr>
        <w:pStyle w:val="ListBullet"/>
      </w:pPr>
      <w:r>
        <w:t>• Solid financial performance with consistent growth</w:t>
      </w:r>
    </w:p>
    <w:p>
      <w:pPr>
        <w:pStyle w:val="ListBullet"/>
      </w:pPr>
      <w:r>
        <w:t>• Attractive valuation relative to peers</w:t>
      </w:r>
    </w:p>
    <w:p>
      <w:pPr>
        <w:pStyle w:val="Heading1"/>
      </w:pPr>
      <w:r>
        <w:t>Key Risks</w:t>
      </w:r>
    </w:p>
    <w:p>
      <w:pPr>
        <w:pStyle w:val="ListBullet"/>
      </w:pPr>
      <w:r>
        <w:t>• Market competition and pricing pressure</w:t>
      </w:r>
    </w:p>
    <w:p>
      <w:pPr>
        <w:pStyle w:val="ListBullet"/>
      </w:pPr>
      <w:r>
        <w:t>• Regulatory and compliance risks</w:t>
      </w:r>
    </w:p>
    <w:p>
      <w:pPr>
        <w:pStyle w:val="ListBullet"/>
      </w:pPr>
      <w:r>
        <w:t>• Execution risks on growth initiatives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