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3b79f01c9b6cbf7845bb09e320bea58e28ea8c85.png"/>
            <a:graphic>
              <a:graphicData uri="http://schemas.openxmlformats.org/drawingml/2006/picture">
                <pic:pic>
                  <pic:nvPicPr>
                    <pic:cNvPr id="1" name="image-3b79f01c9b6cbf7845bb09e320bea58e28ea8c85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Critical Laboratory Trends: Potassium, Sodium &amp; Key Clinical Markers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Electrolyte Trends: Potassium (K) &amp; Sodium (Na)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Potassium (K) (mmol/L)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 (Ref: 3.50–5.10)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Sodium (Na) (mmol/L)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 (Ref: 133–145)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Jan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Borderline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141.8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Jul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140.5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Sep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143.0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Oct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Borderline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Apr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Jun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Sep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138.8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Apr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Jul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4.94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</w:t>
            </w:r>
          </w:p>
        </w:tc>
      </w:tr>
    </w:tbl>
    <w:p>
      <w:pPr>
        <w:spacing w:lineRule="auto"/>
      </w:pP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Potassium (K):</w:t>
      </w:r>
      <w:r>
        <w:rPr>
          <w:rFonts w:eastAsia="inter" w:cs="inter" w:ascii="inter" w:hAnsi="inter"/>
          <w:color w:val="000000"/>
          <w:sz w:val="21"/>
        </w:rPr>
        <w:t xml:space="preserve"> Remained within or just above reference, with mild elevations at the start (Jan/Dec 2023), then stable.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Sodium (Na):</w:t>
      </w:r>
      <w:r>
        <w:rPr>
          <w:rFonts w:eastAsia="inter" w:cs="inter" w:ascii="inter" w:hAnsi="inter"/>
          <w:color w:val="000000"/>
          <w:sz w:val="21"/>
        </w:rPr>
        <w:t xml:space="preserve"> Consistently within reference, minor fluctuations, no clinical concern.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Trends are visualized below.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4025900"/>
            <wp:effectExtent b="0" l="0" r="0" t="0"/>
            <wp:docPr id="2" name="image-23089bcd0d905bd20fffeb227206287b58d7d23c.png"/>
            <a:graphic>
              <a:graphicData uri="http://schemas.openxmlformats.org/drawingml/2006/picture">
                <pic:pic>
                  <pic:nvPicPr>
                    <pic:cNvPr id="2" name="image-23089bcd0d905bd20fffeb227206287b58d7d23c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Trends of Potassium and Sodium levels over time with reference ranges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Combined Trends: Hemoglobin, Hematocrit, and RBC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Hemoglobin (g/dL)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Hematocrit (%)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RBC (M/μl)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Jan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5.67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Jul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Sep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5.71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Oct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6.05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5.95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Apr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5.84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Jun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37.4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5.59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Sep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6.17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Apr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6.04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Jul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6.04</w:t>
            </w:r>
          </w:p>
        </w:tc>
      </w:tr>
    </w:tbl>
    <w:p>
      <w:pPr>
        <w:spacing w:lineRule="auto"/>
      </w:pP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Key trend:</w:t>
      </w:r>
      <w:r>
        <w:rPr>
          <w:rFonts w:eastAsia="inter" w:cs="inter" w:ascii="inter" w:hAnsi="inter"/>
          <w:color w:val="000000"/>
          <w:sz w:val="21"/>
        </w:rPr>
        <w:t xml:space="preserve"> Mild, chronic microcytic anemia pattern with lowest values mid-2023/mid-2024, then recovery and stabilization.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Liver Function &amp; Bilirubin Trends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Total Bilirubin (mg/dL)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AST (U/L)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ALT (U/L)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Jan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37.3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Jul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3.02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Sep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Oct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Apr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Jun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Sep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1.83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31.6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3.39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Apr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20.9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Jul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18.3</w:t>
            </w:r>
          </w:p>
        </w:tc>
      </w:tr>
    </w:tbl>
    <w:p>
      <w:pPr>
        <w:spacing w:lineRule="auto"/>
      </w:pP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Bilirubin:</w:t>
      </w:r>
      <w:r>
        <w:rPr>
          <w:rFonts w:eastAsia="inter" w:cs="inter" w:ascii="inter" w:hAnsi="inter"/>
          <w:color w:val="000000"/>
          <w:sz w:val="21"/>
        </w:rPr>
        <w:t xml:space="preserve"> Persistently elevated, peaking Dec 2024/Jul 2025.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Transaminases:</w:t>
      </w:r>
      <w:r>
        <w:rPr>
          <w:rFonts w:eastAsia="inter" w:cs="inter" w:ascii="inter" w:hAnsi="inter"/>
          <w:color w:val="000000"/>
          <w:sz w:val="21"/>
        </w:rPr>
        <w:t xml:space="preserve"> Mild fluctuations, trending downward, no persistent elevation.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Iron Status and Ferritin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Ferritin (ng/mL)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RBC (M/μl)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Hemoglobin (g/dL)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Oct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262.80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Apr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258.20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5.84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Sep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289.60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Apr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Jul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229.20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6.04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12.8</w:t>
            </w:r>
          </w:p>
        </w:tc>
      </w:tr>
    </w:tbl>
    <w:p>
      <w:pPr>
        <w:spacing w:lineRule="auto"/>
      </w:pP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Ferritin:</w:t>
      </w:r>
      <w:r>
        <w:rPr>
          <w:rFonts w:eastAsia="inter" w:cs="inter" w:ascii="inter" w:hAnsi="inter"/>
          <w:color w:val="000000"/>
          <w:sz w:val="21"/>
        </w:rPr>
        <w:t xml:space="preserve"> Always within/above reference, iron stores adequate.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Combined with RBC/HGB:</w:t>
      </w:r>
      <w:r>
        <w:rPr>
          <w:rFonts w:eastAsia="inter" w:cs="inter" w:ascii="inter" w:hAnsi="inter"/>
          <w:color w:val="000000"/>
          <w:sz w:val="21"/>
        </w:rPr>
        <w:t xml:space="preserve"> Confirms anemia is not due to iron deficiency.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Combined Monitoring: Potassium, Sodium, and Renal Function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Potassium (K)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Sodium (Na)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Creatinine (mg/dL)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Urea (mg/dL)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Jan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141.8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27.5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Jul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140.5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26.8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Sep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143.0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5.08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31.3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Apr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26.7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Jun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4.51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29.0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Sep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39.2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138.8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26.9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Apr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4.61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Jul 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4.94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27.1</w:t>
            </w:r>
          </w:p>
        </w:tc>
      </w:tr>
    </w:tbl>
    <w:p>
      <w:pPr>
        <w:spacing w:lineRule="auto"/>
      </w:pP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Interpretation:</w:t>
      </w:r>
      <w:r>
        <w:rPr>
          <w:rFonts w:eastAsia="inter" w:cs="inter" w:ascii="inter" w:hAnsi="inter"/>
          <w:color w:val="000000"/>
          <w:sz w:val="21"/>
        </w:rPr>
        <w:t xml:space="preserve"> Electrolytes and renal function are stable, with no evidence of acute kidney injury or electrolyte imbalance.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Key Combined Trends to Monitor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Potassium + Creatinine:</w:t>
      </w:r>
      <w:r>
        <w:rPr>
          <w:rFonts w:eastAsia="inter" w:cs="inter" w:ascii="inter" w:hAnsi="inter"/>
          <w:color w:val="000000"/>
          <w:sz w:val="21"/>
        </w:rPr>
        <w:t xml:space="preserve"> Both stable, no evidence of hyperkalemia due to renal dysfunction.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Hemoglobin + Ferritin:</w:t>
      </w:r>
      <w:r>
        <w:rPr>
          <w:rFonts w:eastAsia="inter" w:cs="inter" w:ascii="inter" w:hAnsi="inter"/>
          <w:color w:val="000000"/>
          <w:sz w:val="21"/>
        </w:rPr>
        <w:t xml:space="preserve"> Chronic microcytic anemia with adequate iron stores—suggests non-nutritional cause.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Bilirubin + Liver Enzymes:</w:t>
      </w:r>
      <w:r>
        <w:rPr>
          <w:rFonts w:eastAsia="inter" w:cs="inter" w:ascii="inter" w:hAnsi="inter"/>
          <w:color w:val="000000"/>
          <w:sz w:val="21"/>
        </w:rPr>
        <w:t xml:space="preserve"> Persistent mild hyperbilirubinemia with normalizing transaminases—suggests benign etiology (e.g., Gilbert’s syndrome).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Sodium + Urea/Creatinine:</w:t>
      </w:r>
      <w:r>
        <w:rPr>
          <w:rFonts w:eastAsia="inter" w:cs="inter" w:ascii="inter" w:hAnsi="inter"/>
          <w:color w:val="000000"/>
          <w:sz w:val="21"/>
        </w:rPr>
        <w:t xml:space="preserve"> No hyponatremia or renal impairment.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Interpretation Highlights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Electrolyte stability:</w:t>
      </w:r>
      <w:r>
        <w:rPr>
          <w:rFonts w:eastAsia="inter" w:cs="inter" w:ascii="inter" w:hAnsi="inter"/>
          <w:color w:val="000000"/>
          <w:sz w:val="21"/>
        </w:rPr>
        <w:t xml:space="preserve"> Both K and Na are within reference, with minor, clinically insignificant fluctuations.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Chronic microcytic, hypochromic anemia:</w:t>
      </w:r>
      <w:r>
        <w:rPr>
          <w:rFonts w:eastAsia="inter" w:cs="inter" w:ascii="inter" w:hAnsi="inter"/>
          <w:color w:val="000000"/>
          <w:sz w:val="21"/>
        </w:rPr>
        <w:t xml:space="preserve"> Stable, non-progressive, not due to iron deficiency.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Bilirubin:</w:t>
      </w:r>
      <w:r>
        <w:rPr>
          <w:rFonts w:eastAsia="inter" w:cs="inter" w:ascii="inter" w:hAnsi="inter"/>
          <w:color w:val="000000"/>
          <w:sz w:val="21"/>
        </w:rPr>
        <w:t xml:space="preserve"> Persistently elevated, but with no signs of hemolysis or liver dysfunction.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Renal and glycemic control:</w:t>
      </w:r>
      <w:r>
        <w:rPr>
          <w:rFonts w:eastAsia="inter" w:cs="inter" w:ascii="inter" w:hAnsi="inter"/>
          <w:color w:val="000000"/>
          <w:sz w:val="21"/>
        </w:rPr>
        <w:t xml:space="preserve"> Excellent throughout.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evidence of acute or chronic systemic disease.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Combined trend monitoring:</w:t>
      </w:r>
      <w:r>
        <w:rPr>
          <w:rFonts w:eastAsia="inter" w:cs="inter" w:ascii="inter" w:hAnsi="inter"/>
          <w:color w:val="000000"/>
          <w:sz w:val="21"/>
        </w:rPr>
        <w:t xml:space="preserve"> No critical interactions or combined abnormalities detected.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structured, multi-year dataset supports ongoing monitoring and confirms the absence of acute or progressive pathology in the most critical laboratory parameters.</w:t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b79f01c9b6cbf7845bb09e320bea58e28ea8c85.png" TargetMode="Internal"/><Relationship Id="rId6" Type="http://schemas.openxmlformats.org/officeDocument/2006/relationships/image" Target="media/image-23089bcd0d905bd20fffeb227206287b58d7d23c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2025-07-11T15:04:25.561Z</dcterms:created>
  <dcterms:modified xsi:type="dcterms:W3CDTF">2025-07-11T15:04:25.561Z</dcterms:modified>
</cp:coreProperties>
</file>