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1143000" cy="287909"/>
            <wp:effectExtent b="0" l="0" r="0" t="0"/>
            <wp:docPr id="1" name="image-3766d2dffdfefb07a875e3e29d4ee26c8d2ae665.png"/>
            <a:graphic>
              <a:graphicData uri="http://schemas.openxmlformats.org/drawingml/2006/picture">
                <pic:pic>
                  <pic:nvPicPr>
                    <pic:cNvPr id="1" name="image-3766d2dffdfefb07a875e3e29d4ee26c8d2ae665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87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Longitudinal Laboratory Report – Timeline Summary &amp; Clinical Interpretation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Timeline Summary (Jan 2023 – Jul 2025)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Key Events/Findings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Jan 2023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Baseline: Microcytic anemia, mild hyperbilirubinemia, all other indices within or near reference.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Jul 2023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Slight dip in HGB/HCT, persistent microcytosis, mild hyperbilirubinemia.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Sep 2023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Stable anemia pattern, no new abnormalities.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Oct 2023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Mild increase in HGB/HCT, continued microcytosis and hypochromia, all immunology negative.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Dec 2023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HGB/HCT recovery, bilirubin remains elevated, iron and vitamin stores adequate.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Apr 2024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Stable anemia, good glycemic and renal control, liver function improved, all immunology negative.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Jun 2024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Lowest HGB/HCT, mild anemia persists, bilirubin stable, potassium normalized.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Sep 2024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HGB/HCT recovery, lipid profile worsens, mild elevation in ALT, consistent microcytosis.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Dec 2024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Peak RBC/HGB/HCT, bilirubin highest, microcytic anemia unchanged, all other indices stable.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Apr 2025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Stable indices, bilirubin slightly improved, iron stores adequate, potassium and sodium normal.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Jul 2025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All indices stable, mild drop in HGB/HCT, potassium at upper normal, sodium at upper normal.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Morphological Findings (Red Blood Cells)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Anisocytosis:</w:t>
      </w:r>
      <w:r>
        <w:rPr>
          <w:rFonts w:eastAsia="inter" w:cs="inter" w:ascii="inter" w:hAnsi="inter"/>
          <w:color w:val="000000"/>
          <w:sz w:val="21"/>
        </w:rPr>
        <w:t xml:space="preserve"> Present (+) at all time points, indicating variation in RBC size.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Hypochromia:</w:t>
      </w:r>
      <w:r>
        <w:rPr>
          <w:rFonts w:eastAsia="inter" w:cs="inter" w:ascii="inter" w:hAnsi="inter"/>
          <w:color w:val="000000"/>
          <w:sz w:val="21"/>
        </w:rPr>
        <w:t xml:space="preserve"> Present (+) throughout, consistent with reduced hemoglobin content.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Microcytosis:</w:t>
      </w:r>
      <w:r>
        <w:rPr>
          <w:rFonts w:eastAsia="inter" w:cs="inter" w:ascii="inter" w:hAnsi="inter"/>
          <w:color w:val="000000"/>
          <w:sz w:val="21"/>
        </w:rPr>
        <w:t xml:space="preserve"> Present (+) throughout, confirming small RBC size.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Other changes:</w:t>
      </w:r>
      <w:r>
        <w:rPr>
          <w:rFonts w:eastAsia="inter" w:cs="inter" w:ascii="inter" w:hAnsi="inter"/>
          <w:color w:val="000000"/>
          <w:sz w:val="21"/>
        </w:rPr>
        <w:t xml:space="preserve"> No significant abnormalities in poikilocytosis, spherocytosis, or inclusion bodies.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WBC/PLT Morphology:</w:t>
      </w:r>
      <w:r>
        <w:rPr>
          <w:rFonts w:eastAsia="inter" w:cs="inter" w:ascii="inter" w:hAnsi="inter"/>
          <w:color w:val="000000"/>
          <w:sz w:val="21"/>
        </w:rPr>
        <w:t xml:space="preserve"> No atypical forms or significant abnormalities noted.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Key Clinical Trends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Hematology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RBC, HGB, HCT:</w:t>
      </w:r>
      <w:r>
        <w:rPr>
          <w:rFonts w:eastAsia="inter" w:cs="inter" w:ascii="inter" w:hAnsi="inter"/>
          <w:color w:val="000000"/>
          <w:sz w:val="21"/>
        </w:rPr>
        <w:t xml:space="preserve"> Mild, persistent microcytic, hypochromic anemia. Lowest values in mid-2024, recovery by end-2024, stable through 2025.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MCV, MCH:</w:t>
      </w:r>
      <w:r>
        <w:rPr>
          <w:rFonts w:eastAsia="inter" w:cs="inter" w:ascii="inter" w:hAnsi="inter"/>
          <w:color w:val="000000"/>
          <w:sz w:val="21"/>
        </w:rPr>
        <w:t xml:space="preserve"> Consistently low, supporting chronic microcytic anemia.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RDW:</w:t>
      </w:r>
      <w:r>
        <w:rPr>
          <w:rFonts w:eastAsia="inter" w:cs="inter" w:ascii="inter" w:hAnsi="inter"/>
          <w:color w:val="000000"/>
          <w:sz w:val="21"/>
        </w:rPr>
        <w:t xml:space="preserve"> Mildly elevated, indicating anisocytosis.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WBC &amp; Platelets:</w:t>
      </w:r>
      <w:r>
        <w:rPr>
          <w:rFonts w:eastAsia="inter" w:cs="inter" w:ascii="inter" w:hAnsi="inter"/>
          <w:color w:val="000000"/>
          <w:sz w:val="21"/>
        </w:rPr>
        <w:t xml:space="preserve"> Stable, within normal limits throughout.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Biochemistry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Bilirubin:</w:t>
      </w:r>
      <w:r>
        <w:rPr>
          <w:rFonts w:eastAsia="inter" w:cs="inter" w:ascii="inter" w:hAnsi="inter"/>
          <w:color w:val="000000"/>
          <w:sz w:val="21"/>
        </w:rPr>
        <w:t xml:space="preserve"> Persistently elevated (total and direct), peaking Dec 2024, suggesting ongoing mild hemolysis or Gilbert’s syndrome.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Ferritin, B12, Folate:</w:t>
      </w:r>
      <w:r>
        <w:rPr>
          <w:rFonts w:eastAsia="inter" w:cs="inter" w:ascii="inter" w:hAnsi="inter"/>
          <w:color w:val="000000"/>
          <w:sz w:val="21"/>
        </w:rPr>
        <w:t xml:space="preserve"> Always within or above reference, ruling out iron, B12, or folate deficiency as primary anemia cause.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Creatinine, Urea:</w:t>
      </w:r>
      <w:r>
        <w:rPr>
          <w:rFonts w:eastAsia="inter" w:cs="inter" w:ascii="inter" w:hAnsi="inter"/>
          <w:color w:val="000000"/>
          <w:sz w:val="21"/>
        </w:rPr>
        <w:t xml:space="preserve"> Stable, normal renal function.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Glucose:</w:t>
      </w:r>
      <w:r>
        <w:rPr>
          <w:rFonts w:eastAsia="inter" w:cs="inter" w:ascii="inter" w:hAnsi="inter"/>
          <w:color w:val="000000"/>
          <w:sz w:val="21"/>
        </w:rPr>
        <w:t xml:space="preserve"> Well-controlled, no evidence of diabetes.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Potassium:</w:t>
      </w:r>
      <w:r>
        <w:rPr>
          <w:rFonts w:eastAsia="inter" w:cs="inter" w:ascii="inter" w:hAnsi="inter"/>
          <w:color w:val="000000"/>
          <w:sz w:val="21"/>
        </w:rPr>
        <w:t xml:space="preserve"> Borderline high early, normalized and stable thereafter, slight rise in Jul 2025 but within reference.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Sodium:</w:t>
      </w:r>
      <w:r>
        <w:rPr>
          <w:rFonts w:eastAsia="inter" w:cs="inter" w:ascii="inter" w:hAnsi="inter"/>
          <w:color w:val="000000"/>
          <w:sz w:val="21"/>
        </w:rPr>
        <w:t xml:space="preserve"> Always within normal limits, slight rise in Jul 2025.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Liver &amp; Lipid Profile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Transaminases (AST/ALT):</w:t>
      </w:r>
      <w:r>
        <w:rPr>
          <w:rFonts w:eastAsia="inter" w:cs="inter" w:ascii="inter" w:hAnsi="inter"/>
          <w:color w:val="000000"/>
          <w:sz w:val="21"/>
        </w:rPr>
        <w:t xml:space="preserve"> Mild fluctuations, no persistent elevation.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LDH:</w:t>
      </w:r>
      <w:r>
        <w:rPr>
          <w:rFonts w:eastAsia="inter" w:cs="inter" w:ascii="inter" w:hAnsi="inter"/>
          <w:color w:val="000000"/>
          <w:sz w:val="21"/>
        </w:rPr>
        <w:t xml:space="preserve"> Mildly elevated at baseline, improved over time.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Cholesterol/Triglycerides:</w:t>
      </w:r>
      <w:r>
        <w:rPr>
          <w:rFonts w:eastAsia="inter" w:cs="inter" w:ascii="inter" w:hAnsi="inter"/>
          <w:color w:val="000000"/>
          <w:sz w:val="21"/>
        </w:rPr>
        <w:t xml:space="preserve"> Fluctuating, with some values above target, especially in Sep 2024 and Apr 2025.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Immunology &amp; Coagulation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Celiac/Autoimmune screens:</w:t>
      </w:r>
      <w:r>
        <w:rPr>
          <w:rFonts w:eastAsia="inter" w:cs="inter" w:ascii="inter" w:hAnsi="inter"/>
          <w:color w:val="000000"/>
          <w:sz w:val="21"/>
        </w:rPr>
        <w:t xml:space="preserve"> All negative.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Coagulation:</w:t>
      </w:r>
      <w:r>
        <w:rPr>
          <w:rFonts w:eastAsia="inter" w:cs="inter" w:ascii="inter" w:hAnsi="inter"/>
          <w:color w:val="000000"/>
          <w:sz w:val="21"/>
        </w:rPr>
        <w:t xml:space="preserve"> All parameters within reference, except for a single elevated Quick percentage (not clinically significant).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Inflammatory Markers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CRP, ESR:</w:t>
      </w:r>
      <w:r>
        <w:rPr>
          <w:rFonts w:eastAsia="inter" w:cs="inter" w:ascii="inter" w:hAnsi="inter"/>
          <w:color w:val="000000"/>
          <w:sz w:val="21"/>
        </w:rPr>
        <w:t xml:space="preserve"> Low to mildly elevated, no evidence of active systemic inflammation.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Interpretation Notes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Chronic microcytic, hypochromic anemia</w:t>
      </w:r>
      <w:r>
        <w:rPr>
          <w:rFonts w:eastAsia="inter" w:cs="inter" w:ascii="inter" w:hAnsi="inter"/>
          <w:color w:val="000000"/>
          <w:sz w:val="21"/>
        </w:rPr>
        <w:t xml:space="preserve"> is confirmed by persistently low MCV/MCH, positive anisocytosis, and hypochromia. Iron, B12, and folate sufficiency suggest a non-nutritional etiology (possible thalassemia trait or chronic disease).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Persistent mild hyperbilirubinemia</w:t>
      </w:r>
      <w:r>
        <w:rPr>
          <w:rFonts w:eastAsia="inter" w:cs="inter" w:ascii="inter" w:hAnsi="inter"/>
          <w:color w:val="000000"/>
          <w:sz w:val="21"/>
        </w:rPr>
        <w:t xml:space="preserve"> with normal liver enzymes and no hemolysis markers points toward benign causes such as Gilbert’s syndrome.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No evidence of acute or chronic infection, inflammation, or autoimmune disease</w:t>
      </w:r>
      <w:r>
        <w:rPr>
          <w:rFonts w:eastAsia="inter" w:cs="inter" w:ascii="inter" w:hAnsi="inter"/>
          <w:color w:val="000000"/>
          <w:sz w:val="21"/>
        </w:rPr>
        <w:t xml:space="preserve"> based on WBC, CRP, ESR, and immunology screens.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Renal and glycemic control are excellent</w:t>
      </w:r>
      <w:r>
        <w:rPr>
          <w:rFonts w:eastAsia="inter" w:cs="inter" w:ascii="inter" w:hAnsi="inter"/>
          <w:color w:val="000000"/>
          <w:sz w:val="21"/>
        </w:rPr>
        <w:t xml:space="preserve"> throughout the entire period.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Electrolyte balance is stable</w:t>
      </w:r>
      <w:r>
        <w:rPr>
          <w:rFonts w:eastAsia="inter" w:cs="inter" w:ascii="inter" w:hAnsi="inter"/>
          <w:color w:val="000000"/>
          <w:sz w:val="21"/>
        </w:rPr>
        <w:t xml:space="preserve">, with potassium and sodium within reference, minor fluctuations not clinically significant.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Liver function is stable</w:t>
      </w:r>
      <w:r>
        <w:rPr>
          <w:rFonts w:eastAsia="inter" w:cs="inter" w:ascii="inter" w:hAnsi="inter"/>
          <w:color w:val="000000"/>
          <w:sz w:val="21"/>
        </w:rPr>
        <w:t xml:space="preserve">, with only minor, transient enzyme elevations.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No evidence of coagulopathy or bleeding risk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No critical new abnormalities</w:t>
      </w:r>
      <w:r>
        <w:rPr>
          <w:rFonts w:eastAsia="inter" w:cs="inter" w:ascii="inter" w:hAnsi="inter"/>
          <w:color w:val="000000"/>
          <w:sz w:val="21"/>
        </w:rPr>
        <w:t xml:space="preserve"> detected in 2025; all trends are consistent with prior years.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Overall Summary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patient demonstrates a stable, chronic microcytic anemia with persistent mild hyperbilirubinemia and otherwise unremarkable laboratory findings over a 2.5-year period. No evidence of nutritional deficiency, hemolytic anemia, or significant organ dysfunction is present. The findings are most consistent with a benign, non-progressive hematological disorder (such as thalassemia trait) and/or Gilbert’s syndrome. Regular monitoring is appropriate, with no urgent interventions indicated.</w:t>
      </w:r>
    </w:p>
    <w:p>
      <w:pPr>
        <w:spacing w:line="360" w:lineRule="auto"/>
        <w:jc w:val="center"/>
      </w:pPr>
      <w:r>
        <w:rPr>
          <w:rFonts w:eastAsia="inter" w:cs="inter" w:ascii="inter" w:hAnsi="inter"/>
          <w:color w:val="000000"/>
        </w:rPr>
        <w:t xml:space="preserve">⁂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3766d2dffdfefb07a875e3e29d4ee26c8d2ae665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2025-07-11T15:04:25.841Z</dcterms:created>
  <dcterms:modified xsi:type="dcterms:W3CDTF">2025-07-11T15:04:25.841Z</dcterms:modified>
</cp:coreProperties>
</file>