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F166A" w14:textId="77777777" w:rsidR="00A676A8" w:rsidRPr="007A6E49" w:rsidRDefault="0077696F">
      <w:pPr>
        <w:rPr>
          <w:rFonts w:ascii="Times New Roman" w:hAnsi="Times New Roman" w:cs="Times New Roman"/>
          <w:b/>
        </w:rPr>
      </w:pPr>
      <w:r w:rsidRPr="007A6E49">
        <w:rPr>
          <w:rFonts w:ascii="Times New Roman" w:hAnsi="Times New Roman" w:cs="Times New Roman"/>
          <w:b/>
        </w:rPr>
        <w:t xml:space="preserve">Strong positive correlation between percent of adults who consume low frequency of food and consume low frequency of vegetables. </w:t>
      </w:r>
    </w:p>
    <w:p w14:paraId="38BBBE8B" w14:textId="77777777" w:rsidR="0077696F" w:rsidRPr="008B59C1" w:rsidRDefault="0077696F">
      <w:pPr>
        <w:rPr>
          <w:rFonts w:ascii="Times New Roman" w:hAnsi="Times New Roman" w:cs="Times New Roman"/>
        </w:rPr>
      </w:pPr>
    </w:p>
    <w:p w14:paraId="1589B2C4" w14:textId="77777777" w:rsidR="0077696F" w:rsidRPr="008B59C1" w:rsidRDefault="0077696F">
      <w:pPr>
        <w:rPr>
          <w:rFonts w:ascii="Times New Roman" w:hAnsi="Times New Roman" w:cs="Times New Roman"/>
        </w:rPr>
      </w:pPr>
      <w:proofErr w:type="spellStart"/>
      <w:r w:rsidRPr="008B59C1">
        <w:rPr>
          <w:rFonts w:ascii="Times New Roman" w:hAnsi="Times New Roman" w:cs="Times New Roman"/>
        </w:rPr>
        <w:t>Saivardhan</w:t>
      </w:r>
      <w:proofErr w:type="spellEnd"/>
      <w:r w:rsidRPr="008B59C1">
        <w:rPr>
          <w:rFonts w:ascii="Times New Roman" w:hAnsi="Times New Roman" w:cs="Times New Roman"/>
        </w:rPr>
        <w:t xml:space="preserve"> </w:t>
      </w:r>
      <w:proofErr w:type="spellStart"/>
      <w:r w:rsidRPr="008B59C1">
        <w:rPr>
          <w:rFonts w:ascii="Times New Roman" w:hAnsi="Times New Roman" w:cs="Times New Roman"/>
        </w:rPr>
        <w:t>Mada</w:t>
      </w:r>
      <w:bookmarkStart w:id="0" w:name="_GoBack"/>
      <w:bookmarkEnd w:id="0"/>
      <w:proofErr w:type="spellEnd"/>
    </w:p>
    <w:p w14:paraId="5E9BBBA1" w14:textId="77777777" w:rsidR="0077696F" w:rsidRPr="008B59C1" w:rsidRDefault="0077696F">
      <w:pPr>
        <w:rPr>
          <w:rFonts w:ascii="Times New Roman" w:hAnsi="Times New Roman" w:cs="Times New Roman"/>
        </w:rPr>
      </w:pPr>
    </w:p>
    <w:p w14:paraId="1779F2B2" w14:textId="77777777" w:rsidR="0077696F" w:rsidRPr="008B59C1" w:rsidRDefault="0077696F">
      <w:pPr>
        <w:rPr>
          <w:rFonts w:ascii="Times New Roman" w:hAnsi="Times New Roman" w:cs="Times New Roman"/>
        </w:rPr>
      </w:pPr>
      <w:r w:rsidRPr="008B59C1">
        <w:rPr>
          <w:rFonts w:ascii="Times New Roman" w:hAnsi="Times New Roman" w:cs="Times New Roman"/>
        </w:rPr>
        <w:t>We hypothesize that there is a positive correlation between adults who consume less than one fruit a day and adults who consume less than one vegetable a day. The purpose of this study was to better understand if there was a correlation between consumption and vegetables and more insight into the diets of Americans especially since obesity rate is rising. We conducted a correlation study because we were trying to better understand the relationship between two variables</w:t>
      </w:r>
      <w:r w:rsidR="000A09E7" w:rsidRPr="008B59C1">
        <w:rPr>
          <w:rFonts w:ascii="Times New Roman" w:hAnsi="Times New Roman" w:cs="Times New Roman"/>
        </w:rPr>
        <w:t>. Data</w:t>
      </w:r>
      <w:r w:rsidRPr="008B59C1">
        <w:rPr>
          <w:rFonts w:ascii="Times New Roman" w:hAnsi="Times New Roman" w:cs="Times New Roman"/>
        </w:rPr>
        <w:t xml:space="preserve"> </w:t>
      </w:r>
      <w:r w:rsidR="000A09E7" w:rsidRPr="008B59C1">
        <w:rPr>
          <w:rFonts w:ascii="Times New Roman" w:hAnsi="Times New Roman" w:cs="Times New Roman"/>
        </w:rPr>
        <w:t xml:space="preserve">was provided by the CDC and included the percent of adults who consumed less than one fruit a day or </w:t>
      </w:r>
      <w:r w:rsidR="000A09E7" w:rsidRPr="008B59C1">
        <w:rPr>
          <w:rFonts w:ascii="Times New Roman" w:hAnsi="Times New Roman" w:cs="Times New Roman"/>
        </w:rPr>
        <w:t>percent of adults who co</w:t>
      </w:r>
      <w:r w:rsidR="000A09E7" w:rsidRPr="008B59C1">
        <w:rPr>
          <w:rFonts w:ascii="Times New Roman" w:hAnsi="Times New Roman" w:cs="Times New Roman"/>
        </w:rPr>
        <w:t xml:space="preserve">nsumed less than one vegetable a day for every state. The results were that there was a strong positive correlation (r = 0.736). This indicates that an increase in percent of adults who reported consuming fruit less than once a day is also correlated to an increase in percent of adults who report consuming vegetables less than once a day and this fails to reject our hypothesis. These results matter because obesity is a serious concern in our nation and our results suggest that unhealthy diets (low consumption of fruits and vegetables) are correlated which gives us a better idea of average adults health in the United States. </w:t>
      </w:r>
    </w:p>
    <w:p w14:paraId="7011300E" w14:textId="77777777" w:rsidR="0025431D" w:rsidRPr="008B59C1" w:rsidRDefault="0025431D">
      <w:pPr>
        <w:rPr>
          <w:rFonts w:ascii="Times New Roman" w:hAnsi="Times New Roman" w:cs="Times New Roman"/>
        </w:rPr>
      </w:pPr>
    </w:p>
    <w:p w14:paraId="63BFE94A" w14:textId="7BD1296D" w:rsidR="008B59C1" w:rsidRDefault="008B59C1">
      <w:pPr>
        <w:rPr>
          <w:rFonts w:ascii="Times New Roman" w:hAnsi="Times New Roman" w:cs="Times New Roman"/>
        </w:rPr>
      </w:pPr>
      <w:r w:rsidRPr="008B59C1">
        <w:rPr>
          <w:rFonts w:ascii="Times New Roman" w:hAnsi="Times New Roman" w:cs="Times New Roman"/>
          <w:noProof/>
        </w:rPr>
        <w:drawing>
          <wp:inline distT="0" distB="0" distL="0" distR="0" wp14:anchorId="222F3BED" wp14:editId="0C03D54C">
            <wp:extent cx="5943600" cy="3284855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AFD7D6" w14:textId="77777777" w:rsidR="008B59C1" w:rsidRDefault="008B59C1">
      <w:pPr>
        <w:rPr>
          <w:rFonts w:ascii="Times New Roman" w:hAnsi="Times New Roman" w:cs="Times New Roman"/>
        </w:rPr>
      </w:pPr>
    </w:p>
    <w:p w14:paraId="5E6D7D26" w14:textId="67CCE4DB" w:rsidR="0025431D" w:rsidRPr="008B59C1" w:rsidRDefault="008B59C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1. Scatter plot with linear regression line of</w:t>
      </w:r>
      <w:r w:rsidRPr="008B59C1">
        <w:rPr>
          <w:rFonts w:ascii="Times New Roman" w:hAnsi="Times New Roman" w:cs="Times New Roman"/>
          <w:i/>
        </w:rPr>
        <w:t xml:space="preserve"> adults who consume less than one fruit a day </w:t>
      </w:r>
      <w:r>
        <w:rPr>
          <w:rFonts w:ascii="Times New Roman" w:hAnsi="Times New Roman" w:cs="Times New Roman"/>
          <w:i/>
        </w:rPr>
        <w:t>vs</w:t>
      </w:r>
      <w:r w:rsidRPr="008B59C1">
        <w:rPr>
          <w:rFonts w:ascii="Times New Roman" w:hAnsi="Times New Roman" w:cs="Times New Roman"/>
          <w:i/>
        </w:rPr>
        <w:t xml:space="preserve"> adults who consume less than one vegetable a day</w:t>
      </w:r>
      <w:r>
        <w:rPr>
          <w:rFonts w:ascii="Times New Roman" w:hAnsi="Times New Roman" w:cs="Times New Roman"/>
          <w:i/>
        </w:rPr>
        <w:t>. Strong positive correlation was found with an r value of 0.736.</w:t>
      </w:r>
    </w:p>
    <w:sectPr w:rsidR="0025431D" w:rsidRPr="008B59C1" w:rsidSect="00C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6F"/>
    <w:rsid w:val="000A09E7"/>
    <w:rsid w:val="0025431D"/>
    <w:rsid w:val="002E615B"/>
    <w:rsid w:val="0077696F"/>
    <w:rsid w:val="007A6E49"/>
    <w:rsid w:val="008B59C1"/>
    <w:rsid w:val="00C9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953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aimada/Downloads/CDC-1+_3_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Sheet1!$B$2:$B$52</c:f>
              <c:numCache>
                <c:formatCode>General</c:formatCode>
                <c:ptCount val="51"/>
                <c:pt idx="0">
                  <c:v>46.0</c:v>
                </c:pt>
                <c:pt idx="1">
                  <c:v>39.7</c:v>
                </c:pt>
                <c:pt idx="2">
                  <c:v>39.5</c:v>
                </c:pt>
                <c:pt idx="3">
                  <c:v>50.5</c:v>
                </c:pt>
                <c:pt idx="4">
                  <c:v>30.4</c:v>
                </c:pt>
                <c:pt idx="5">
                  <c:v>35.7</c:v>
                </c:pt>
                <c:pt idx="6">
                  <c:v>33.7</c:v>
                </c:pt>
                <c:pt idx="7">
                  <c:v>40.4</c:v>
                </c:pt>
                <c:pt idx="8">
                  <c:v>34.8</c:v>
                </c:pt>
                <c:pt idx="9">
                  <c:v>38.0</c:v>
                </c:pt>
                <c:pt idx="10">
                  <c:v>43.2</c:v>
                </c:pt>
                <c:pt idx="11">
                  <c:v>39.2</c:v>
                </c:pt>
                <c:pt idx="12">
                  <c:v>38.5</c:v>
                </c:pt>
                <c:pt idx="13">
                  <c:v>36.7</c:v>
                </c:pt>
                <c:pt idx="14">
                  <c:v>43.6</c:v>
                </c:pt>
                <c:pt idx="15">
                  <c:v>39.3</c:v>
                </c:pt>
                <c:pt idx="16">
                  <c:v>41.8</c:v>
                </c:pt>
                <c:pt idx="17">
                  <c:v>46.2</c:v>
                </c:pt>
                <c:pt idx="18">
                  <c:v>47.5</c:v>
                </c:pt>
                <c:pt idx="19">
                  <c:v>34.0</c:v>
                </c:pt>
                <c:pt idx="20">
                  <c:v>35.9</c:v>
                </c:pt>
                <c:pt idx="21">
                  <c:v>32.8</c:v>
                </c:pt>
                <c:pt idx="22">
                  <c:v>37.7</c:v>
                </c:pt>
                <c:pt idx="23">
                  <c:v>38.2</c:v>
                </c:pt>
                <c:pt idx="24">
                  <c:v>49.9</c:v>
                </c:pt>
                <c:pt idx="25">
                  <c:v>43.1</c:v>
                </c:pt>
                <c:pt idx="26">
                  <c:v>38.6</c:v>
                </c:pt>
                <c:pt idx="27">
                  <c:v>39.7</c:v>
                </c:pt>
                <c:pt idx="28">
                  <c:v>35.6</c:v>
                </c:pt>
                <c:pt idx="29">
                  <c:v>33.8</c:v>
                </c:pt>
                <c:pt idx="30">
                  <c:v>35.3</c:v>
                </c:pt>
                <c:pt idx="31">
                  <c:v>39.2</c:v>
                </c:pt>
                <c:pt idx="32">
                  <c:v>34.5</c:v>
                </c:pt>
                <c:pt idx="33">
                  <c:v>42.3</c:v>
                </c:pt>
                <c:pt idx="34">
                  <c:v>40.3</c:v>
                </c:pt>
                <c:pt idx="35">
                  <c:v>41.6</c:v>
                </c:pt>
                <c:pt idx="36">
                  <c:v>50.4</c:v>
                </c:pt>
                <c:pt idx="37">
                  <c:v>33.4</c:v>
                </c:pt>
                <c:pt idx="38">
                  <c:v>37.5</c:v>
                </c:pt>
                <c:pt idx="39">
                  <c:v>35.3</c:v>
                </c:pt>
                <c:pt idx="40">
                  <c:v>45.2</c:v>
                </c:pt>
                <c:pt idx="41">
                  <c:v>39.3</c:v>
                </c:pt>
                <c:pt idx="42">
                  <c:v>44.8</c:v>
                </c:pt>
                <c:pt idx="43">
                  <c:v>42.7</c:v>
                </c:pt>
                <c:pt idx="44">
                  <c:v>36.5</c:v>
                </c:pt>
                <c:pt idx="45">
                  <c:v>32.8</c:v>
                </c:pt>
                <c:pt idx="46">
                  <c:v>37.4</c:v>
                </c:pt>
                <c:pt idx="47">
                  <c:v>36.6</c:v>
                </c:pt>
                <c:pt idx="48">
                  <c:v>46.0</c:v>
                </c:pt>
                <c:pt idx="49">
                  <c:v>37.8</c:v>
                </c:pt>
                <c:pt idx="50">
                  <c:v>40.9</c:v>
                </c:pt>
              </c:numCache>
            </c:numRef>
          </c:xVal>
          <c:yVal>
            <c:numRef>
              <c:f>Sheet1!$C$2:$C$52</c:f>
              <c:numCache>
                <c:formatCode>General</c:formatCode>
                <c:ptCount val="51"/>
                <c:pt idx="0">
                  <c:v>25.8</c:v>
                </c:pt>
                <c:pt idx="1">
                  <c:v>19.2</c:v>
                </c:pt>
                <c:pt idx="2">
                  <c:v>23.8</c:v>
                </c:pt>
                <c:pt idx="3">
                  <c:v>28.0</c:v>
                </c:pt>
                <c:pt idx="4">
                  <c:v>17.3</c:v>
                </c:pt>
                <c:pt idx="5">
                  <c:v>19.1</c:v>
                </c:pt>
                <c:pt idx="6">
                  <c:v>22.2</c:v>
                </c:pt>
                <c:pt idx="7">
                  <c:v>28.9</c:v>
                </c:pt>
                <c:pt idx="8">
                  <c:v>20.9</c:v>
                </c:pt>
                <c:pt idx="9">
                  <c:v>20.8</c:v>
                </c:pt>
                <c:pt idx="10">
                  <c:v>23.7</c:v>
                </c:pt>
                <c:pt idx="11">
                  <c:v>23.1</c:v>
                </c:pt>
                <c:pt idx="12">
                  <c:v>20.4</c:v>
                </c:pt>
                <c:pt idx="13">
                  <c:v>24.0</c:v>
                </c:pt>
                <c:pt idx="14">
                  <c:v>26.9</c:v>
                </c:pt>
                <c:pt idx="15">
                  <c:v>26.8</c:v>
                </c:pt>
                <c:pt idx="16">
                  <c:v>22.9</c:v>
                </c:pt>
                <c:pt idx="17">
                  <c:v>24.9</c:v>
                </c:pt>
                <c:pt idx="18">
                  <c:v>32.7</c:v>
                </c:pt>
                <c:pt idx="19">
                  <c:v>17.7</c:v>
                </c:pt>
                <c:pt idx="20">
                  <c:v>22.0</c:v>
                </c:pt>
                <c:pt idx="21">
                  <c:v>20.1</c:v>
                </c:pt>
                <c:pt idx="22">
                  <c:v>24.8</c:v>
                </c:pt>
                <c:pt idx="23">
                  <c:v>23.6</c:v>
                </c:pt>
                <c:pt idx="24">
                  <c:v>30.6</c:v>
                </c:pt>
                <c:pt idx="25">
                  <c:v>24.3</c:v>
                </c:pt>
                <c:pt idx="26">
                  <c:v>20.5</c:v>
                </c:pt>
                <c:pt idx="27">
                  <c:v>23.3</c:v>
                </c:pt>
                <c:pt idx="28">
                  <c:v>20.8</c:v>
                </c:pt>
                <c:pt idx="29">
                  <c:v>16.8</c:v>
                </c:pt>
                <c:pt idx="30">
                  <c:v>21.4</c:v>
                </c:pt>
                <c:pt idx="31">
                  <c:v>21.5</c:v>
                </c:pt>
                <c:pt idx="32">
                  <c:v>22.0</c:v>
                </c:pt>
                <c:pt idx="33">
                  <c:v>22.4</c:v>
                </c:pt>
                <c:pt idx="34">
                  <c:v>27.4</c:v>
                </c:pt>
                <c:pt idx="35">
                  <c:v>26.3</c:v>
                </c:pt>
                <c:pt idx="36">
                  <c:v>25.3</c:v>
                </c:pt>
                <c:pt idx="37">
                  <c:v>16.3</c:v>
                </c:pt>
                <c:pt idx="38">
                  <c:v>24.7</c:v>
                </c:pt>
                <c:pt idx="39">
                  <c:v>21.4</c:v>
                </c:pt>
                <c:pt idx="40">
                  <c:v>26.8</c:v>
                </c:pt>
                <c:pt idx="41">
                  <c:v>24.5</c:v>
                </c:pt>
                <c:pt idx="42">
                  <c:v>24.3</c:v>
                </c:pt>
                <c:pt idx="43">
                  <c:v>21.5</c:v>
                </c:pt>
                <c:pt idx="44">
                  <c:v>20.4</c:v>
                </c:pt>
                <c:pt idx="45">
                  <c:v>16.5</c:v>
                </c:pt>
                <c:pt idx="46">
                  <c:v>21.4</c:v>
                </c:pt>
                <c:pt idx="47">
                  <c:v>18.2</c:v>
                </c:pt>
                <c:pt idx="48">
                  <c:v>24.2</c:v>
                </c:pt>
                <c:pt idx="49">
                  <c:v>25.8</c:v>
                </c:pt>
                <c:pt idx="50">
                  <c:v>20.1</c:v>
                </c:pt>
              </c:numCache>
            </c:numRef>
          </c:yVal>
          <c:smooth val="0"/>
        </c:ser>
        <c:ser>
          <c:idx val="0"/>
          <c:order val="1"/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.0"/>
            <c:dispRSqr val="0"/>
            <c:dispEq val="0"/>
          </c:trendline>
          <c:xVal>
            <c:numRef>
              <c:f>Sheet1!$B$2:$B$52</c:f>
              <c:numCache>
                <c:formatCode>General</c:formatCode>
                <c:ptCount val="51"/>
                <c:pt idx="0">
                  <c:v>46.0</c:v>
                </c:pt>
                <c:pt idx="1">
                  <c:v>39.7</c:v>
                </c:pt>
                <c:pt idx="2">
                  <c:v>39.5</c:v>
                </c:pt>
                <c:pt idx="3">
                  <c:v>50.5</c:v>
                </c:pt>
                <c:pt idx="4">
                  <c:v>30.4</c:v>
                </c:pt>
                <c:pt idx="5">
                  <c:v>35.7</c:v>
                </c:pt>
                <c:pt idx="6">
                  <c:v>33.7</c:v>
                </c:pt>
                <c:pt idx="7">
                  <c:v>40.4</c:v>
                </c:pt>
                <c:pt idx="8">
                  <c:v>34.8</c:v>
                </c:pt>
                <c:pt idx="9">
                  <c:v>38.0</c:v>
                </c:pt>
                <c:pt idx="10">
                  <c:v>43.2</c:v>
                </c:pt>
                <c:pt idx="11">
                  <c:v>39.2</c:v>
                </c:pt>
                <c:pt idx="12">
                  <c:v>38.5</c:v>
                </c:pt>
                <c:pt idx="13">
                  <c:v>36.7</c:v>
                </c:pt>
                <c:pt idx="14">
                  <c:v>43.6</c:v>
                </c:pt>
                <c:pt idx="15">
                  <c:v>39.3</c:v>
                </c:pt>
                <c:pt idx="16">
                  <c:v>41.8</c:v>
                </c:pt>
                <c:pt idx="17">
                  <c:v>46.2</c:v>
                </c:pt>
                <c:pt idx="18">
                  <c:v>47.5</c:v>
                </c:pt>
                <c:pt idx="19">
                  <c:v>34.0</c:v>
                </c:pt>
                <c:pt idx="20">
                  <c:v>35.9</c:v>
                </c:pt>
                <c:pt idx="21">
                  <c:v>32.8</c:v>
                </c:pt>
                <c:pt idx="22">
                  <c:v>37.7</c:v>
                </c:pt>
                <c:pt idx="23">
                  <c:v>38.2</c:v>
                </c:pt>
                <c:pt idx="24">
                  <c:v>49.9</c:v>
                </c:pt>
                <c:pt idx="25">
                  <c:v>43.1</c:v>
                </c:pt>
                <c:pt idx="26">
                  <c:v>38.6</c:v>
                </c:pt>
                <c:pt idx="27">
                  <c:v>39.7</c:v>
                </c:pt>
                <c:pt idx="28">
                  <c:v>35.6</c:v>
                </c:pt>
                <c:pt idx="29">
                  <c:v>33.8</c:v>
                </c:pt>
                <c:pt idx="30">
                  <c:v>35.3</c:v>
                </c:pt>
                <c:pt idx="31">
                  <c:v>39.2</c:v>
                </c:pt>
                <c:pt idx="32">
                  <c:v>34.5</c:v>
                </c:pt>
                <c:pt idx="33">
                  <c:v>42.3</c:v>
                </c:pt>
                <c:pt idx="34">
                  <c:v>40.3</c:v>
                </c:pt>
                <c:pt idx="35">
                  <c:v>41.6</c:v>
                </c:pt>
                <c:pt idx="36">
                  <c:v>50.4</c:v>
                </c:pt>
                <c:pt idx="37">
                  <c:v>33.4</c:v>
                </c:pt>
                <c:pt idx="38">
                  <c:v>37.5</c:v>
                </c:pt>
                <c:pt idx="39">
                  <c:v>35.3</c:v>
                </c:pt>
                <c:pt idx="40">
                  <c:v>45.2</c:v>
                </c:pt>
                <c:pt idx="41">
                  <c:v>39.3</c:v>
                </c:pt>
                <c:pt idx="42">
                  <c:v>44.8</c:v>
                </c:pt>
                <c:pt idx="43">
                  <c:v>42.7</c:v>
                </c:pt>
                <c:pt idx="44">
                  <c:v>36.5</c:v>
                </c:pt>
                <c:pt idx="45">
                  <c:v>32.8</c:v>
                </c:pt>
                <c:pt idx="46">
                  <c:v>37.4</c:v>
                </c:pt>
                <c:pt idx="47">
                  <c:v>36.6</c:v>
                </c:pt>
                <c:pt idx="48">
                  <c:v>46.0</c:v>
                </c:pt>
                <c:pt idx="49">
                  <c:v>37.8</c:v>
                </c:pt>
                <c:pt idx="50">
                  <c:v>40.9</c:v>
                </c:pt>
              </c:numCache>
            </c:numRef>
          </c:xVal>
          <c:yVal>
            <c:numRef>
              <c:f>Sheet1!$C$2:$C$52</c:f>
              <c:numCache>
                <c:formatCode>General</c:formatCode>
                <c:ptCount val="51"/>
                <c:pt idx="0">
                  <c:v>25.8</c:v>
                </c:pt>
                <c:pt idx="1">
                  <c:v>19.2</c:v>
                </c:pt>
                <c:pt idx="2">
                  <c:v>23.8</c:v>
                </c:pt>
                <c:pt idx="3">
                  <c:v>28.0</c:v>
                </c:pt>
                <c:pt idx="4">
                  <c:v>17.3</c:v>
                </c:pt>
                <c:pt idx="5">
                  <c:v>19.1</c:v>
                </c:pt>
                <c:pt idx="6">
                  <c:v>22.2</c:v>
                </c:pt>
                <c:pt idx="7">
                  <c:v>28.9</c:v>
                </c:pt>
                <c:pt idx="8">
                  <c:v>20.9</c:v>
                </c:pt>
                <c:pt idx="9">
                  <c:v>20.8</c:v>
                </c:pt>
                <c:pt idx="10">
                  <c:v>23.7</c:v>
                </c:pt>
                <c:pt idx="11">
                  <c:v>23.1</c:v>
                </c:pt>
                <c:pt idx="12">
                  <c:v>20.4</c:v>
                </c:pt>
                <c:pt idx="13">
                  <c:v>24.0</c:v>
                </c:pt>
                <c:pt idx="14">
                  <c:v>26.9</c:v>
                </c:pt>
                <c:pt idx="15">
                  <c:v>26.8</c:v>
                </c:pt>
                <c:pt idx="16">
                  <c:v>22.9</c:v>
                </c:pt>
                <c:pt idx="17">
                  <c:v>24.9</c:v>
                </c:pt>
                <c:pt idx="18">
                  <c:v>32.7</c:v>
                </c:pt>
                <c:pt idx="19">
                  <c:v>17.7</c:v>
                </c:pt>
                <c:pt idx="20">
                  <c:v>22.0</c:v>
                </c:pt>
                <c:pt idx="21">
                  <c:v>20.1</c:v>
                </c:pt>
                <c:pt idx="22">
                  <c:v>24.8</c:v>
                </c:pt>
                <c:pt idx="23">
                  <c:v>23.6</c:v>
                </c:pt>
                <c:pt idx="24">
                  <c:v>30.6</c:v>
                </c:pt>
                <c:pt idx="25">
                  <c:v>24.3</c:v>
                </c:pt>
                <c:pt idx="26">
                  <c:v>20.5</c:v>
                </c:pt>
                <c:pt idx="27">
                  <c:v>23.3</c:v>
                </c:pt>
                <c:pt idx="28">
                  <c:v>20.8</c:v>
                </c:pt>
                <c:pt idx="29">
                  <c:v>16.8</c:v>
                </c:pt>
                <c:pt idx="30">
                  <c:v>21.4</c:v>
                </c:pt>
                <c:pt idx="31">
                  <c:v>21.5</c:v>
                </c:pt>
                <c:pt idx="32">
                  <c:v>22.0</c:v>
                </c:pt>
                <c:pt idx="33">
                  <c:v>22.4</c:v>
                </c:pt>
                <c:pt idx="34">
                  <c:v>27.4</c:v>
                </c:pt>
                <c:pt idx="35">
                  <c:v>26.3</c:v>
                </c:pt>
                <c:pt idx="36">
                  <c:v>25.3</c:v>
                </c:pt>
                <c:pt idx="37">
                  <c:v>16.3</c:v>
                </c:pt>
                <c:pt idx="38">
                  <c:v>24.7</c:v>
                </c:pt>
                <c:pt idx="39">
                  <c:v>21.4</c:v>
                </c:pt>
                <c:pt idx="40">
                  <c:v>26.8</c:v>
                </c:pt>
                <c:pt idx="41">
                  <c:v>24.5</c:v>
                </c:pt>
                <c:pt idx="42">
                  <c:v>24.3</c:v>
                </c:pt>
                <c:pt idx="43">
                  <c:v>21.5</c:v>
                </c:pt>
                <c:pt idx="44">
                  <c:v>20.4</c:v>
                </c:pt>
                <c:pt idx="45">
                  <c:v>16.5</c:v>
                </c:pt>
                <c:pt idx="46">
                  <c:v>21.4</c:v>
                </c:pt>
                <c:pt idx="47">
                  <c:v>18.2</c:v>
                </c:pt>
                <c:pt idx="48">
                  <c:v>24.2</c:v>
                </c:pt>
                <c:pt idx="49">
                  <c:v>25.8</c:v>
                </c:pt>
                <c:pt idx="50">
                  <c:v>20.1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681488"/>
        <c:axId val="1475756672"/>
      </c:scatterChart>
      <c:valAx>
        <c:axId val="-205668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756672"/>
        <c:crosses val="autoZero"/>
        <c:crossBetween val="midCat"/>
      </c:valAx>
      <c:valAx>
        <c:axId val="147575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668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3</cp:revision>
  <dcterms:created xsi:type="dcterms:W3CDTF">2017-09-20T16:15:00Z</dcterms:created>
  <dcterms:modified xsi:type="dcterms:W3CDTF">2017-09-20T16:51:00Z</dcterms:modified>
</cp:coreProperties>
</file>