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6B7280"/>
          <w:sz w:val="20"/>
          <w:szCs w:val="20"/>
        </w:rPr>
        <w:t xml:space="preserve">The Enterprise Layer for Contingent Talent</w:t>
      </w:r>
    </w:p>
    <w:p>
      <w:pPr>
        <w:spacing w:after="100"/>
      </w:pPr>
      <w:r>
        <w:rPr>
          <w:b/>
          <w:bCs/>
          <w:color w:val="14181D"/>
          <w:sz w:val="34"/>
          <w:szCs w:val="34"/>
        </w:rPr>
        <w:t xml:space="preserve">ADDENDUM E</w:t>
      </w:r>
    </w:p>
    <w:p>
      <w:pPr>
        <w:spacing w:after="240"/>
      </w:pPr>
      <w:r>
        <w:rPr>
          <w:color w:val="14181D"/>
          <w:sz w:val="26"/>
          <w:szCs w:val="26"/>
        </w:rPr>
        <w:t xml:space="preserve">Client Workforce Governance</w:t>
      </w:r>
    </w:p>
    <w:p>
      <w:pPr>
        <w:spacing w:after="130" w:line="300"/>
      </w:pPr>
      <w:r>
        <w:rPr>
          <w:b w:val="false"/>
          <w:bCs w:val="false"/>
          <w:i/>
          <w:iCs/>
          <w:color w:val="6B7280"/>
          <w:sz w:val="20"/>
          <w:szCs w:val="20"/>
        </w:rPr>
        <w:t xml:space="preserve">Amends Master BRD v3.7 (FROZEN BASELINE). Issued under the baseline rule: amendments require a change log, not a rewrite. No section of v3.7 is superseded.</w:t>
      </w:r>
    </w:p>
    <w:p>
      <w:pPr>
        <w:spacing w:after="200"/>
      </w:pPr>
      <w:r>
        <w:t xml:space="preserve"/>
      </w:r>
    </w:p>
    <w:tbl>
      <w:tblPr>
        <w:tblW w:type="dxa" w:w="9000"/>
        <w:tblBorders>
          <w:top w:val="single" w:color="D8D5CE" w:sz="2"/>
          <w:left w:val="single" w:color="D8D5CE" w:sz="2"/>
          <w:bottom w:val="single" w:color="D8D5CE" w:sz="2"/>
          <w:right w:val="single" w:color="D8D5CE" w:sz="2"/>
          <w:insideH w:val="single" w:color="D8D5CE" w:sz="2"/>
          <w:insideV w:val="single" w:color="D8D5CE" w:sz="2"/>
        </w:tblBorders>
      </w:tblPr>
      <w:tblGrid>
        <w:gridCol w:w="2600"/>
        <w:gridCol w:w="6400"/>
      </w:tblGrid>
      <w:tr>
        <w:trPr>
          <w:tblHeader/>
        </w:trPr>
        <w:tc>
          <w:tcPr>
            <w:tcW w:type="dxa" w:w="2600"/>
            <w:shd w:fill="F0EEE9" w:val="clear"/>
            <w:tcMar>
              <w:top w:type="dxa" w:w="110"/>
              <w:left w:type="dxa" w:w="130"/>
              <w:bottom w:type="dxa" w:w="110"/>
              <w:right w:type="dxa" w:w="130"/>
            </w:tcMar>
          </w:tcPr>
          <w:p>
            <w:pPr>
              <w:spacing w:after="40"/>
            </w:pPr>
            <w:r>
              <w:rPr>
                <w:b/>
                <w:bCs/>
                <w:color w:val="14181D"/>
                <w:sz w:val="18"/>
                <w:szCs w:val="18"/>
              </w:rPr>
              <w:t xml:space="preserve">Field</w:t>
            </w:r>
          </w:p>
        </w:tc>
        <w:tc>
          <w:tcPr>
            <w:tcW w:type="dxa" w:w="6400"/>
            <w:shd w:fill="F0EEE9" w:val="clear"/>
            <w:tcMar>
              <w:top w:type="dxa" w:w="110"/>
              <w:left w:type="dxa" w:w="130"/>
              <w:bottom w:type="dxa" w:w="110"/>
              <w:right w:type="dxa" w:w="130"/>
            </w:tcMar>
          </w:tcPr>
          <w:p>
            <w:pPr>
              <w:spacing w:after="40"/>
            </w:pPr>
            <w:r>
              <w:rPr>
                <w:b/>
                <w:bCs/>
                <w:color w:val="14181D"/>
                <w:sz w:val="18"/>
                <w:szCs w:val="18"/>
              </w:rPr>
              <w:t xml:space="preserve">Value</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Addendum</w:t>
            </w:r>
          </w:p>
        </w:tc>
        <w:tc>
          <w:tcPr>
            <w:tcW w:type="dxa" w:w="6400"/>
            <w:tcMar>
              <w:top w:type="dxa" w:w="110"/>
              <w:left w:type="dxa" w:w="130"/>
              <w:bottom w:type="dxa" w:w="110"/>
              <w:right w:type="dxa" w:w="130"/>
            </w:tcMar>
          </w:tcPr>
          <w:p>
            <w:pPr>
              <w:spacing w:after="40"/>
            </w:pPr>
            <w:r>
              <w:rPr>
                <w:b w:val="false"/>
                <w:bCs w:val="false"/>
                <w:color w:val="2C3238"/>
                <w:sz w:val="19"/>
                <w:szCs w:val="19"/>
              </w:rPr>
              <w:t xml:space="preserve">E</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Amends</w:t>
            </w:r>
          </w:p>
        </w:tc>
        <w:tc>
          <w:tcPr>
            <w:tcW w:type="dxa" w:w="6400"/>
            <w:tcMar>
              <w:top w:type="dxa" w:w="110"/>
              <w:left w:type="dxa" w:w="130"/>
              <w:bottom w:type="dxa" w:w="110"/>
              <w:right w:type="dxa" w:w="130"/>
            </w:tcMar>
          </w:tcPr>
          <w:p>
            <w:pPr>
              <w:spacing w:after="40"/>
            </w:pPr>
            <w:r>
              <w:rPr>
                <w:b w:val="false"/>
                <w:bCs w:val="false"/>
                <w:color w:val="2C3238"/>
                <w:sz w:val="19"/>
                <w:szCs w:val="19"/>
              </w:rPr>
              <w:t xml:space="preserve">Master BRD v3.7 — Frozen Baseline</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Status</w:t>
            </w:r>
          </w:p>
        </w:tc>
        <w:tc>
          <w:tcPr>
            <w:tcW w:type="dxa" w:w="6400"/>
            <w:tcMar>
              <w:top w:type="dxa" w:w="110"/>
              <w:left w:type="dxa" w:w="130"/>
              <w:bottom w:type="dxa" w:w="110"/>
              <w:right w:type="dxa" w:w="130"/>
            </w:tcMar>
          </w:tcPr>
          <w:p>
            <w:pPr>
              <w:spacing w:after="40"/>
            </w:pPr>
            <w:r>
              <w:rPr>
                <w:b w:val="false"/>
                <w:bCs w:val="false"/>
                <w:color w:val="2C3238"/>
                <w:sz w:val="19"/>
                <w:szCs w:val="19"/>
              </w:rPr>
              <w:t xml:space="preserve">RATIFIED — see E.10</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Trigger</w:t>
            </w:r>
          </w:p>
        </w:tc>
        <w:tc>
          <w:tcPr>
            <w:tcW w:type="dxa" w:w="6400"/>
            <w:tcMar>
              <w:top w:type="dxa" w:w="110"/>
              <w:left w:type="dxa" w:w="130"/>
              <w:bottom w:type="dxa" w:w="110"/>
              <w:right w:type="dxa" w:w="130"/>
            </w:tcMar>
          </w:tcPr>
          <w:p>
            <w:pPr>
              <w:spacing w:after="40"/>
            </w:pPr>
            <w:r>
              <w:rPr>
                <w:b w:val="false"/>
                <w:bCs w:val="false"/>
                <w:color w:val="2C3238"/>
                <w:sz w:val="19"/>
                <w:szCs w:val="19"/>
              </w:rPr>
              <w:t xml:space="preserve">Client-side review: multi-manager mid-market programme (10+ managers, 14 vendors, decentralised buying)</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Sections extended</w:t>
            </w:r>
          </w:p>
        </w:tc>
        <w:tc>
          <w:tcPr>
            <w:tcW w:type="dxa" w:w="6400"/>
            <w:tcMar>
              <w:top w:type="dxa" w:w="110"/>
              <w:left w:type="dxa" w:w="130"/>
              <w:bottom w:type="dxa" w:w="110"/>
              <w:right w:type="dxa" w:w="130"/>
            </w:tcMar>
          </w:tcPr>
          <w:p>
            <w:pPr>
              <w:spacing w:after="40"/>
            </w:pPr>
            <w:r>
              <w:rPr>
                <w:b w:val="false"/>
                <w:bCs w:val="false"/>
                <w:color w:val="2C3238"/>
                <w:sz w:val="19"/>
                <w:szCs w:val="19"/>
              </w:rPr>
              <w:t xml:space="preserve">§5.3, §8, §10, §17, §20, §27</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Relationship to Addendum D</w:t>
            </w:r>
          </w:p>
        </w:tc>
        <w:tc>
          <w:tcPr>
            <w:tcW w:type="dxa" w:w="6400"/>
            <w:tcMar>
              <w:top w:type="dxa" w:w="110"/>
              <w:left w:type="dxa" w:w="130"/>
              <w:bottom w:type="dxa" w:w="110"/>
              <w:right w:type="dxa" w:w="130"/>
            </w:tcMar>
          </w:tcPr>
          <w:p>
            <w:pPr>
              <w:spacing w:after="40"/>
            </w:pPr>
            <w:r>
              <w:rPr>
                <w:b w:val="false"/>
                <w:bCs w:val="false"/>
                <w:color w:val="2C3238"/>
                <w:sz w:val="19"/>
                <w:szCs w:val="19"/>
              </w:rPr>
              <w:t xml:space="preserve">D covers supply-side retention. E covers demand-side control. E.2 constrains D.3.6.</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Classification</w:t>
            </w:r>
          </w:p>
        </w:tc>
        <w:tc>
          <w:tcPr>
            <w:tcW w:type="dxa" w:w="6400"/>
            <w:tcMar>
              <w:top w:type="dxa" w:w="110"/>
              <w:left w:type="dxa" w:w="130"/>
              <w:bottom w:type="dxa" w:w="110"/>
              <w:right w:type="dxa" w:w="130"/>
            </w:tcMar>
          </w:tcPr>
          <w:p>
            <w:pPr>
              <w:spacing w:after="40"/>
            </w:pPr>
            <w:r>
              <w:rPr>
                <w:b w:val="false"/>
                <w:bCs w:val="false"/>
                <w:color w:val="2C3238"/>
                <w:sz w:val="19"/>
                <w:szCs w:val="19"/>
              </w:rPr>
              <w:t xml:space="preserve">Confidential</w:t>
            </w:r>
          </w:p>
        </w:tc>
      </w:tr>
    </w:tbl>
    <w:p>
      <w:r>
        <w:br w:type="page"/>
      </w:r>
    </w:p>
    <w:p>
      <w:pPr>
        <w:spacing w:after="160" w:before="400"/>
      </w:pPr>
      <w:r>
        <w:rPr>
          <w:b/>
          <w:bCs/>
          <w:color w:val="14181D"/>
          <w:sz w:val="26"/>
          <w:szCs w:val="26"/>
        </w:rPr>
        <w:t xml:space="preserve">E.1  THE GAP</w:t>
      </w:r>
    </w:p>
    <w:p>
      <w:pPr>
        <w:spacing w:after="150" w:line="300"/>
      </w:pPr>
      <w:r>
        <w:rPr>
          <w:b/>
          <w:bCs/>
          <w:color w:val="14181D"/>
          <w:sz w:val="20"/>
          <w:szCs w:val="20"/>
        </w:rPr>
        <w:t xml:space="preserve">v3.7 is a supply-side specification. Client governance is not thin — it is absent.</w:t>
      </w:r>
    </w:p>
    <w:p>
      <w:pPr>
        <w:spacing w:after="130" w:line="300"/>
      </w:pPr>
      <w:r>
        <w:rPr>
          <w:b w:val="false"/>
          <w:bCs w:val="false"/>
          <w:i w:val="false"/>
          <w:iCs w:val="false"/>
          <w:color w:val="2C3238"/>
          <w:sz w:val="20"/>
          <w:szCs w:val="20"/>
        </w:rPr>
        <w:t xml:space="preserve">A keyword audit of the baseline returns the following. The counts are given because the pattern matters more than any single omission:</w:t>
      </w:r>
    </w:p>
    <w:p>
      <w:pPr>
        <w:spacing w:after="200"/>
      </w:pPr>
      <w:r>
        <w:t xml:space="preserve"/>
      </w:r>
    </w:p>
    <w:tbl>
      <w:tblPr>
        <w:tblW w:type="dxa" w:w="9000"/>
        <w:tblBorders>
          <w:top w:val="single" w:color="D8D5CE" w:sz="2"/>
          <w:left w:val="single" w:color="D8D5CE" w:sz="2"/>
          <w:bottom w:val="single" w:color="D8D5CE" w:sz="2"/>
          <w:right w:val="single" w:color="D8D5CE" w:sz="2"/>
          <w:insideH w:val="single" w:color="D8D5CE" w:sz="2"/>
          <w:insideV w:val="single" w:color="D8D5CE" w:sz="2"/>
        </w:tblBorders>
      </w:tblPr>
      <w:tblGrid>
        <w:gridCol w:w="2200"/>
        <w:gridCol w:w="1500"/>
        <w:gridCol w:w="5300"/>
      </w:tblGrid>
      <w:tr>
        <w:trPr>
          <w:tblHeader/>
        </w:trPr>
        <w:tc>
          <w:tcPr>
            <w:tcW w:type="dxa" w:w="2200"/>
            <w:shd w:fill="F0EEE9" w:val="clear"/>
            <w:tcMar>
              <w:top w:type="dxa" w:w="110"/>
              <w:left w:type="dxa" w:w="130"/>
              <w:bottom w:type="dxa" w:w="110"/>
              <w:right w:type="dxa" w:w="130"/>
            </w:tcMar>
          </w:tcPr>
          <w:p>
            <w:pPr>
              <w:spacing w:after="40"/>
            </w:pPr>
            <w:r>
              <w:rPr>
                <w:b/>
                <w:bCs/>
                <w:color w:val="14181D"/>
                <w:sz w:val="18"/>
                <w:szCs w:val="18"/>
              </w:rPr>
              <w:t xml:space="preserve">Concept</w:t>
            </w:r>
          </w:p>
        </w:tc>
        <w:tc>
          <w:tcPr>
            <w:tcW w:type="dxa" w:w="1500"/>
            <w:shd w:fill="F0EEE9" w:val="clear"/>
            <w:tcMar>
              <w:top w:type="dxa" w:w="110"/>
              <w:left w:type="dxa" w:w="130"/>
              <w:bottom w:type="dxa" w:w="110"/>
              <w:right w:type="dxa" w:w="130"/>
            </w:tcMar>
          </w:tcPr>
          <w:p>
            <w:pPr>
              <w:spacing w:after="40"/>
            </w:pPr>
            <w:r>
              <w:rPr>
                <w:b/>
                <w:bCs/>
                <w:color w:val="14181D"/>
                <w:sz w:val="18"/>
                <w:szCs w:val="18"/>
              </w:rPr>
              <w:t xml:space="preserve">Mentions in v3.7</w:t>
            </w:r>
          </w:p>
        </w:tc>
        <w:tc>
          <w:tcPr>
            <w:tcW w:type="dxa" w:w="5300"/>
            <w:shd w:fill="F0EEE9" w:val="clear"/>
            <w:tcMar>
              <w:top w:type="dxa" w:w="110"/>
              <w:left w:type="dxa" w:w="130"/>
              <w:bottom w:type="dxa" w:w="110"/>
              <w:right w:type="dxa" w:w="130"/>
            </w:tcMar>
          </w:tcPr>
          <w:p>
            <w:pPr>
              <w:spacing w:after="40"/>
            </w:pPr>
            <w:r>
              <w:rPr>
                <w:b/>
                <w:bCs/>
                <w:color w:val="14181D"/>
                <w:sz w:val="18"/>
                <w:szCs w:val="18"/>
              </w:rPr>
              <w:t xml:space="preserve">Assessment</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approval / approver</w:t>
            </w:r>
          </w:p>
        </w:tc>
        <w:tc>
          <w:tcPr>
            <w:tcW w:type="dxa" w:w="1500"/>
            <w:tcMar>
              <w:top w:type="dxa" w:w="110"/>
              <w:left w:type="dxa" w:w="130"/>
              <w:bottom w:type="dxa" w:w="110"/>
              <w:right w:type="dxa" w:w="130"/>
            </w:tcMar>
          </w:tcPr>
          <w:p>
            <w:pPr>
              <w:spacing w:after="40"/>
            </w:pPr>
            <w:r>
              <w:rPr>
                <w:b w:val="false"/>
                <w:bCs w:val="false"/>
                <w:color w:val="2C3238"/>
                <w:sz w:val="19"/>
                <w:szCs w:val="19"/>
              </w:rPr>
              <w:t xml:space="preserve">24</w:t>
            </w:r>
          </w:p>
        </w:tc>
        <w:tc>
          <w:tcPr>
            <w:tcW w:type="dxa" w:w="5300"/>
            <w:tcMar>
              <w:top w:type="dxa" w:w="110"/>
              <w:left w:type="dxa" w:w="130"/>
              <w:bottom w:type="dxa" w:w="110"/>
              <w:right w:type="dxa" w:w="130"/>
            </w:tcMar>
          </w:tcPr>
          <w:p>
            <w:pPr>
              <w:spacing w:after="40"/>
            </w:pPr>
            <w:r>
              <w:rPr>
                <w:b w:val="false"/>
                <w:bCs w:val="false"/>
                <w:color w:val="2C3238"/>
                <w:sz w:val="19"/>
                <w:szCs w:val="19"/>
              </w:rPr>
              <w:t xml:space="preserve">Present, but vendor-side: timesheet and rate approvals inside a vendor's own workflow</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procurement</w:t>
            </w:r>
          </w:p>
        </w:tc>
        <w:tc>
          <w:tcPr>
            <w:tcW w:type="dxa" w:w="1500"/>
            <w:tcMar>
              <w:top w:type="dxa" w:w="110"/>
              <w:left w:type="dxa" w:w="130"/>
              <w:bottom w:type="dxa" w:w="110"/>
              <w:right w:type="dxa" w:w="130"/>
            </w:tcMar>
          </w:tcPr>
          <w:p>
            <w:pPr>
              <w:spacing w:after="40"/>
            </w:pPr>
            <w:r>
              <w:rPr>
                <w:b w:val="false"/>
                <w:bCs w:val="false"/>
                <w:color w:val="2C3238"/>
                <w:sz w:val="19"/>
                <w:szCs w:val="19"/>
              </w:rPr>
              <w:t xml:space="preserve">10</w:t>
            </w:r>
          </w:p>
        </w:tc>
        <w:tc>
          <w:tcPr>
            <w:tcW w:type="dxa" w:w="5300"/>
            <w:tcMar>
              <w:top w:type="dxa" w:w="110"/>
              <w:left w:type="dxa" w:w="130"/>
              <w:bottom w:type="dxa" w:w="110"/>
              <w:right w:type="dxa" w:w="130"/>
            </w:tcMar>
          </w:tcPr>
          <w:p>
            <w:pPr>
              <w:spacing w:after="40"/>
            </w:pPr>
            <w:r>
              <w:rPr>
                <w:b w:val="false"/>
                <w:bCs w:val="false"/>
                <w:color w:val="2C3238"/>
                <w:sz w:val="19"/>
                <w:szCs w:val="19"/>
              </w:rPr>
              <w:t xml:space="preserve">Referenced as an external actor to integrate with, never modelled as a user</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budget / forecast / headcount</w:t>
            </w:r>
          </w:p>
        </w:tc>
        <w:tc>
          <w:tcPr>
            <w:tcW w:type="dxa" w:w="1500"/>
            <w:tcMar>
              <w:top w:type="dxa" w:w="110"/>
              <w:left w:type="dxa" w:w="130"/>
              <w:bottom w:type="dxa" w:w="110"/>
              <w:right w:type="dxa" w:w="130"/>
            </w:tcMar>
          </w:tcPr>
          <w:p>
            <w:pPr>
              <w:spacing w:after="40"/>
            </w:pPr>
            <w:r>
              <w:rPr>
                <w:b w:val="false"/>
                <w:bCs w:val="false"/>
                <w:color w:val="2C3238"/>
                <w:sz w:val="19"/>
                <w:szCs w:val="19"/>
              </w:rPr>
              <w:t xml:space="preserve">10</w:t>
            </w:r>
          </w:p>
        </w:tc>
        <w:tc>
          <w:tcPr>
            <w:tcW w:type="dxa" w:w="5300"/>
            <w:tcMar>
              <w:top w:type="dxa" w:w="110"/>
              <w:left w:type="dxa" w:w="130"/>
              <w:bottom w:type="dxa" w:w="110"/>
              <w:right w:type="dxa" w:w="130"/>
            </w:tcMar>
          </w:tcPr>
          <w:p>
            <w:pPr>
              <w:spacing w:after="40"/>
            </w:pPr>
            <w:r>
              <w:rPr>
                <w:b w:val="false"/>
                <w:bCs w:val="false"/>
                <w:color w:val="2C3238"/>
                <w:sz w:val="19"/>
                <w:szCs w:val="19"/>
              </w:rPr>
              <w:t xml:space="preserve">Vendor bench forecasting. No client budget or plan concept</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governance / policy</w:t>
            </w:r>
          </w:p>
        </w:tc>
        <w:tc>
          <w:tcPr>
            <w:tcW w:type="dxa" w:w="1500"/>
            <w:tcMar>
              <w:top w:type="dxa" w:w="110"/>
              <w:left w:type="dxa" w:w="130"/>
              <w:bottom w:type="dxa" w:w="110"/>
              <w:right w:type="dxa" w:w="130"/>
            </w:tcMar>
          </w:tcPr>
          <w:p>
            <w:pPr>
              <w:spacing w:after="40"/>
            </w:pPr>
            <w:r>
              <w:rPr>
                <w:b w:val="false"/>
                <w:bCs w:val="false"/>
                <w:color w:val="2C3238"/>
                <w:sz w:val="19"/>
                <w:szCs w:val="19"/>
              </w:rPr>
              <w:t xml:space="preserve">4</w:t>
            </w:r>
          </w:p>
        </w:tc>
        <w:tc>
          <w:tcPr>
            <w:tcW w:type="dxa" w:w="5300"/>
            <w:tcMar>
              <w:top w:type="dxa" w:w="110"/>
              <w:left w:type="dxa" w:w="130"/>
              <w:bottom w:type="dxa" w:w="110"/>
              <w:right w:type="dxa" w:w="130"/>
            </w:tcMar>
          </w:tcPr>
          <w:p>
            <w:pPr>
              <w:spacing w:after="40"/>
            </w:pPr>
            <w:r>
              <w:rPr>
                <w:b w:val="false"/>
                <w:bCs w:val="false"/>
                <w:color w:val="2C3238"/>
                <w:sz w:val="19"/>
                <w:szCs w:val="19"/>
              </w:rPr>
              <w:t xml:space="preserve">§18.4 'Governance Split' concerns AI site-builder brand controls, not workforce policy</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audit trail / segregation</w:t>
            </w:r>
          </w:p>
        </w:tc>
        <w:tc>
          <w:tcPr>
            <w:tcW w:type="dxa" w:w="1500"/>
            <w:tcMar>
              <w:top w:type="dxa" w:w="110"/>
              <w:left w:type="dxa" w:w="130"/>
              <w:bottom w:type="dxa" w:w="110"/>
              <w:right w:type="dxa" w:w="130"/>
            </w:tcMar>
          </w:tcPr>
          <w:p>
            <w:pPr>
              <w:spacing w:after="40"/>
            </w:pPr>
            <w:r>
              <w:rPr>
                <w:b w:val="false"/>
                <w:bCs w:val="false"/>
                <w:color w:val="2C3238"/>
                <w:sz w:val="19"/>
                <w:szCs w:val="19"/>
              </w:rPr>
              <w:t xml:space="preserve">3</w:t>
            </w:r>
          </w:p>
        </w:tc>
        <w:tc>
          <w:tcPr>
            <w:tcW w:type="dxa" w:w="5300"/>
            <w:tcMar>
              <w:top w:type="dxa" w:w="110"/>
              <w:left w:type="dxa" w:w="130"/>
              <w:bottom w:type="dxa" w:w="110"/>
              <w:right w:type="dxa" w:w="130"/>
            </w:tcMar>
          </w:tcPr>
          <w:p>
            <w:pPr>
              <w:spacing w:after="40"/>
            </w:pPr>
            <w:r>
              <w:rPr>
                <w:b w:val="false"/>
                <w:bCs w:val="false"/>
                <w:color w:val="2C3238"/>
                <w:sz w:val="19"/>
                <w:szCs w:val="19"/>
              </w:rPr>
              <w:t xml:space="preserve">Incidental</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co-employment / tenure</w:t>
            </w:r>
          </w:p>
        </w:tc>
        <w:tc>
          <w:tcPr>
            <w:tcW w:type="dxa" w:w="1500"/>
            <w:tcMar>
              <w:top w:type="dxa" w:w="110"/>
              <w:left w:type="dxa" w:w="130"/>
              <w:bottom w:type="dxa" w:w="110"/>
              <w:right w:type="dxa" w:w="130"/>
            </w:tcMar>
          </w:tcPr>
          <w:p>
            <w:pPr>
              <w:spacing w:after="40"/>
            </w:pPr>
            <w:r>
              <w:rPr>
                <w:b w:val="false"/>
                <w:bCs w:val="false"/>
                <w:color w:val="2C3238"/>
                <w:sz w:val="19"/>
                <w:szCs w:val="19"/>
              </w:rPr>
              <w:t xml:space="preserve">1</w:t>
            </w:r>
          </w:p>
        </w:tc>
        <w:tc>
          <w:tcPr>
            <w:tcW w:type="dxa" w:w="5300"/>
            <w:tcMar>
              <w:top w:type="dxa" w:w="110"/>
              <w:left w:type="dxa" w:w="130"/>
              <w:bottom w:type="dxa" w:w="110"/>
              <w:right w:type="dxa" w:w="130"/>
            </w:tcMar>
          </w:tcPr>
          <w:p>
            <w:pPr>
              <w:spacing w:after="40"/>
            </w:pPr>
            <w:r>
              <w:rPr>
                <w:b w:val="false"/>
                <w:bCs w:val="false"/>
                <w:color w:val="2C3238"/>
                <w:sz w:val="19"/>
                <w:szCs w:val="19"/>
              </w:rPr>
              <w:t xml:space="preserve">Line 3488, framed as an MSP liability Etyme avoids — not as a client exposure Etyme manages</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supplier diversity</w:t>
            </w:r>
          </w:p>
        </w:tc>
        <w:tc>
          <w:tcPr>
            <w:tcW w:type="dxa" w:w="1500"/>
            <w:tcMar>
              <w:top w:type="dxa" w:w="110"/>
              <w:left w:type="dxa" w:w="130"/>
              <w:bottom w:type="dxa" w:w="110"/>
              <w:right w:type="dxa" w:w="130"/>
            </w:tcMar>
          </w:tcPr>
          <w:p>
            <w:pPr>
              <w:spacing w:after="40"/>
            </w:pPr>
            <w:r>
              <w:rPr>
                <w:b w:val="false"/>
                <w:bCs w:val="false"/>
                <w:color w:val="2C3238"/>
                <w:sz w:val="19"/>
                <w:szCs w:val="19"/>
              </w:rPr>
              <w:t xml:space="preserve">1</w:t>
            </w:r>
          </w:p>
        </w:tc>
        <w:tc>
          <w:tcPr>
            <w:tcW w:type="dxa" w:w="5300"/>
            <w:tcMar>
              <w:top w:type="dxa" w:w="110"/>
              <w:left w:type="dxa" w:w="130"/>
              <w:bottom w:type="dxa" w:w="110"/>
              <w:right w:type="dxa" w:w="130"/>
            </w:tcMar>
          </w:tcPr>
          <w:p>
            <w:pPr>
              <w:spacing w:after="40"/>
            </w:pPr>
            <w:r>
              <w:rPr>
                <w:b w:val="false"/>
                <w:bCs w:val="false"/>
                <w:color w:val="2C3238"/>
                <w:sz w:val="19"/>
                <w:szCs w:val="19"/>
              </w:rPr>
              <w:t xml:space="preserve">Absent in substance</w:t>
            </w:r>
          </w:p>
        </w:tc>
      </w:tr>
    </w:tbl>
    <w:p>
      <w:pPr>
        <w:spacing w:after="200"/>
      </w:pPr>
      <w:r>
        <w:t xml:space="preserve"/>
      </w:r>
    </w:p>
    <w:p>
      <w:pPr>
        <w:spacing w:after="130" w:line="300"/>
      </w:pPr>
      <w:r>
        <w:rPr>
          <w:b w:val="false"/>
          <w:bCs w:val="false"/>
          <w:i w:val="false"/>
          <w:iCs w:val="false"/>
          <w:color w:val="2C3238"/>
          <w:sz w:val="20"/>
          <w:szCs w:val="20"/>
        </w:rPr>
        <w:t xml:space="preserve">This is consistent with the declared beachhead (§1.3) and is therefore not a defect in the baseline. It is an unwritten chapter, and it becomes load-bearing the moment a client with more than one hiring manager is engaged.</w:t>
      </w:r>
    </w:p>
    <w:p>
      <w:pPr>
        <w:spacing w:after="200"/>
      </w:pPr>
      <w:r>
        <w:t xml:space="preserve"/>
      </w:r>
    </w:p>
    <w:p>
      <w:pPr>
        <w:spacing w:after="150" w:line="300"/>
      </w:pPr>
      <w:r>
        <w:rPr>
          <w:b/>
          <w:bCs/>
          <w:color w:val="14181D"/>
          <w:sz w:val="20"/>
          <w:szCs w:val="20"/>
        </w:rPr>
        <w:t xml:space="preserve">The finding that prompted this addendum.</w:t>
      </w:r>
    </w:p>
    <w:p>
      <w:pPr>
        <w:spacing w:after="130" w:line="300"/>
      </w:pPr>
      <w:r>
        <w:rPr>
          <w:b w:val="false"/>
          <w:bCs w:val="false"/>
          <w:i w:val="false"/>
          <w:iCs w:val="false"/>
          <w:color w:val="2C3238"/>
          <w:sz w:val="20"/>
          <w:szCs w:val="20"/>
        </w:rPr>
        <w:t xml:space="preserve">A mid-market client review showed ten hiring managers buying overlapping skills from fourteen vendors, six of whom had made a single placement each, with rate variance of approximately $556,000 per year on identical skills. Every one of those managers behaved rationally. The dispersion was not a discipline failure — it was the absence of a fast compliant path.</w:t>
      </w:r>
    </w:p>
    <w:p>
      <w:pPr>
        <w:spacing w:after="150" w:line="300"/>
      </w:pPr>
      <w:r>
        <w:rPr>
          <w:b/>
          <w:bCs/>
          <w:color w:val="14181D"/>
          <w:sz w:val="20"/>
          <w:szCs w:val="20"/>
        </w:rPr>
        <w:t xml:space="preserve">Governance that is slower than the workaround produces the workaround. This addendum is written to that principle throughout.</w:t>
      </w:r>
    </w:p>
    <w:p>
      <w:pPr>
        <w:spacing w:after="200"/>
      </w:pPr>
      <w:r>
        <w:t xml:space="preserve"/>
      </w:r>
    </w:p>
    <w:p>
      <w:pPr>
        <w:spacing w:after="160" w:before="400"/>
      </w:pPr>
      <w:r>
        <w:rPr>
          <w:b/>
          <w:bCs/>
          <w:color w:val="14181D"/>
          <w:sz w:val="26"/>
          <w:szCs w:val="26"/>
        </w:rPr>
        <w:t xml:space="preserve">E.2  CO-EMPLOYMENT AND TENURE</w:t>
      </w:r>
    </w:p>
    <w:p>
      <w:pPr>
        <w:spacing w:after="150" w:line="300"/>
      </w:pPr>
      <w:r>
        <w:rPr>
          <w:b/>
          <w:bCs/>
          <w:color w:val="14181D"/>
          <w:sz w:val="20"/>
          <w:szCs w:val="20"/>
        </w:rPr>
        <w:t xml:space="preserve">The single largest client exposure in contingent labour, and the baseline has no concept of it.</w:t>
      </w:r>
    </w:p>
    <w:p>
      <w:pPr>
        <w:spacing w:after="130" w:line="300"/>
      </w:pPr>
      <w:r>
        <w:rPr>
          <w:b w:val="false"/>
          <w:bCs w:val="false"/>
          <w:i w:val="false"/>
          <w:iCs w:val="false"/>
          <w:color w:val="2C3238"/>
          <w:sz w:val="20"/>
          <w:szCs w:val="20"/>
        </w:rPr>
        <w:t xml:space="preserve">Where a client directs a contractor's daily work, sets their hours, and retains them long enough, a court or agency may find a common-law employment relationship notwithstanding the contract. The reference case is Vizcaino v. Microsoft, which produced a settlement reported at approximately $97 million and reshaped enterprise practice across the sector.</w:t>
      </w:r>
    </w:p>
    <w:p>
      <w:pPr>
        <w:spacing w:after="130" w:line="300"/>
      </w:pPr>
      <w:r>
        <w:rPr>
          <w:b w:val="false"/>
          <w:bCs w:val="false"/>
          <w:i w:val="false"/>
          <w:iCs w:val="false"/>
          <w:color w:val="2C3238"/>
          <w:sz w:val="20"/>
          <w:szCs w:val="20"/>
        </w:rPr>
        <w:t xml:space="preserve">Consequently, most enterprises operate a tenure policy. Typical parameters:</w:t>
      </w:r>
    </w:p>
    <w:p>
      <w:pPr>
        <w:spacing w:after="90" w:line="290"/>
        <w:ind w:left="360"/>
      </w:pPr>
      <w:r>
        <w:rPr>
          <w:color w:val="6B7280"/>
          <w:sz w:val="20"/>
          <w:szCs w:val="20"/>
        </w:rPr>
        <w:t xml:space="preserve">•   </w:t>
      </w:r>
      <w:r>
        <w:rPr>
          <w:color w:val="2C3238"/>
          <w:sz w:val="20"/>
          <w:szCs w:val="20"/>
        </w:rPr>
        <w:t xml:space="preserve">Maximum assignment duration, commonly 18 or 24 months at one client</w:t>
      </w:r>
    </w:p>
    <w:p>
      <w:pPr>
        <w:spacing w:after="90" w:line="290"/>
        <w:ind w:left="360"/>
      </w:pPr>
      <w:r>
        <w:rPr>
          <w:color w:val="6B7280"/>
          <w:sz w:val="20"/>
          <w:szCs w:val="20"/>
        </w:rPr>
        <w:t xml:space="preserve">•   </w:t>
      </w:r>
      <w:r>
        <w:rPr>
          <w:color w:val="2C3238"/>
          <w:sz w:val="20"/>
          <w:szCs w:val="20"/>
        </w:rPr>
        <w:t xml:space="preserve">Mandatory break in service before re-engagement, commonly 30 to 90 days</w:t>
      </w:r>
    </w:p>
    <w:p>
      <w:pPr>
        <w:spacing w:after="90" w:line="290"/>
        <w:ind w:left="360"/>
      </w:pPr>
      <w:r>
        <w:rPr>
          <w:color w:val="6B7280"/>
          <w:sz w:val="20"/>
          <w:szCs w:val="20"/>
        </w:rPr>
        <w:t xml:space="preserve">•   </w:t>
      </w:r>
      <w:r>
        <w:rPr>
          <w:color w:val="2C3238"/>
          <w:sz w:val="20"/>
          <w:szCs w:val="20"/>
        </w:rPr>
        <w:t xml:space="preserve">Prohibition on employee-style management: no performance reviews, no promotion path, no inclusion in employee programmes</w:t>
      </w:r>
    </w:p>
    <w:p>
      <w:pPr>
        <w:spacing w:after="90" w:line="290"/>
        <w:ind w:left="360"/>
      </w:pPr>
      <w:r>
        <w:rPr>
          <w:color w:val="6B7280"/>
          <w:sz w:val="20"/>
          <w:szCs w:val="20"/>
        </w:rPr>
        <w:t xml:space="preserve">•   </w:t>
      </w:r>
      <w:r>
        <w:rPr>
          <w:color w:val="2C3238"/>
          <w:sz w:val="20"/>
          <w:szCs w:val="20"/>
        </w:rPr>
        <w:t xml:space="preserve">Visible distinction: separate badge, distinct email domain, separate directory treatment</w:t>
      </w:r>
    </w:p>
    <w:p>
      <w:pPr>
        <w:spacing w:after="200"/>
      </w:pPr>
      <w:r>
        <w:t xml:space="preserve"/>
      </w:r>
    </w:p>
    <w:p>
      <w:pPr>
        <w:spacing w:after="120" w:before="280"/>
      </w:pPr>
      <w:r>
        <w:rPr>
          <w:b/>
          <w:bCs/>
          <w:color w:val="14181D"/>
          <w:sz w:val="22"/>
          <w:szCs w:val="22"/>
        </w:rPr>
        <w:t xml:space="preserve">E.2.1  The requirement the market currently fails</w:t>
      </w:r>
    </w:p>
    <w:p>
      <w:pPr>
        <w:spacing w:after="150" w:line="300"/>
      </w:pPr>
      <w:r>
        <w:rPr>
          <w:b/>
          <w:bCs/>
          <w:color w:val="14181D"/>
          <w:sz w:val="20"/>
          <w:szCs w:val="20"/>
        </w:rPr>
        <w:t xml:space="preserve">Tenure accrues to the person at the client, not to the assignment or the vendor.</w:t>
      </w:r>
    </w:p>
    <w:p>
      <w:pPr>
        <w:spacing w:after="130" w:line="300"/>
      </w:pPr>
      <w:r>
        <w:rPr>
          <w:b w:val="false"/>
          <w:bCs w:val="false"/>
          <w:i w:val="false"/>
          <w:iCs w:val="false"/>
          <w:color w:val="2C3238"/>
          <w:sz w:val="20"/>
          <w:szCs w:val="20"/>
        </w:rPr>
        <w:t xml:space="preserve">A contractor who works twelve months through Vendor A and a further twelve months through Vendor B, at the same client, has accrued twenty-four months of tenure. Systems that track tenure per assignment or per supplier record this as two unrelated twelve-month engagements and report compliance. The exposure is real and invisible.</w:t>
      </w:r>
    </w:p>
    <w:p>
      <w:pPr>
        <w:spacing w:after="130" w:line="300"/>
      </w:pPr>
      <w:r>
        <w:rPr>
          <w:b w:val="false"/>
          <w:bCs w:val="false"/>
          <w:i w:val="false"/>
          <w:iCs w:val="false"/>
          <w:color w:val="2C3238"/>
          <w:sz w:val="20"/>
          <w:szCs w:val="20"/>
        </w:rPr>
        <w:t xml:space="preserve">Etyme is unusually well placed here, because it holds the relationship across vendors rather than within one. Aggregating tenure across suppliers is the specific thing a single-vendor system structurally cannot do.</w:t>
      </w:r>
    </w:p>
    <w:p>
      <w:pPr>
        <w:spacing w:after="200"/>
      </w:pPr>
      <w:r>
        <w:t xml:space="preserve"/>
      </w:r>
    </w:p>
    <w:p>
      <w:pPr>
        <w:spacing w:after="120" w:before="280"/>
      </w:pPr>
      <w:r>
        <w:rPr>
          <w:b/>
          <w:bCs/>
          <w:color w:val="14181D"/>
          <w:sz w:val="22"/>
          <w:szCs w:val="22"/>
        </w:rPr>
        <w:t xml:space="preserve">E.2.2  Specification</w:t>
      </w:r>
    </w:p>
    <w:p>
      <w:pPr>
        <w:spacing w:after="90" w:line="290"/>
        <w:ind w:left="360"/>
      </w:pPr>
      <w:r>
        <w:rPr>
          <w:color w:val="6B7280"/>
          <w:sz w:val="20"/>
          <w:szCs w:val="20"/>
        </w:rPr>
        <w:t xml:space="preserve">•   </w:t>
      </w:r>
      <w:r>
        <w:rPr>
          <w:color w:val="2C3238"/>
          <w:sz w:val="20"/>
          <w:szCs w:val="20"/>
        </w:rPr>
        <w:t xml:space="preserve">TenureLedger, keyed on person and client, accruing across all assignments and all vendors</w:t>
      </w:r>
    </w:p>
    <w:p>
      <w:pPr>
        <w:spacing w:after="90" w:line="290"/>
        <w:ind w:left="360"/>
      </w:pPr>
      <w:r>
        <w:rPr>
          <w:color w:val="6B7280"/>
          <w:sz w:val="20"/>
          <w:szCs w:val="20"/>
        </w:rPr>
        <w:t xml:space="preserve">•   </w:t>
      </w:r>
      <w:r>
        <w:rPr>
          <w:color w:val="2C3238"/>
          <w:sz w:val="20"/>
          <w:szCs w:val="20"/>
        </w:rPr>
        <w:t xml:space="preserve">Configurable policy per client: maximum days, break-in-service days, warning thresholds</w:t>
      </w:r>
    </w:p>
    <w:p>
      <w:pPr>
        <w:spacing w:after="90" w:line="290"/>
        <w:ind w:left="360"/>
      </w:pPr>
      <w:r>
        <w:rPr>
          <w:color w:val="6B7280"/>
          <w:sz w:val="20"/>
          <w:szCs w:val="20"/>
        </w:rPr>
        <w:t xml:space="preserve">•   </w:t>
      </w:r>
      <w:r>
        <w:rPr>
          <w:color w:val="2C3238"/>
          <w:sz w:val="20"/>
          <w:szCs w:val="20"/>
        </w:rPr>
        <w:t xml:space="preserve">Alerts at T-90 and T-30 against the tenure limit, routed to the hiring manager and to programme ownership</w:t>
      </w:r>
    </w:p>
    <w:p>
      <w:pPr>
        <w:spacing w:after="90" w:line="290"/>
        <w:ind w:left="360"/>
      </w:pPr>
      <w:r>
        <w:rPr>
          <w:color w:val="6B7280"/>
          <w:sz w:val="20"/>
          <w:szCs w:val="20"/>
        </w:rPr>
        <w:t xml:space="preserve">•   </w:t>
      </w:r>
      <w:r>
        <w:rPr>
          <w:color w:val="2C3238"/>
          <w:sz w:val="20"/>
          <w:szCs w:val="20"/>
        </w:rPr>
        <w:t xml:space="preserve">Break-in-service enforcement: re-engagement blocked or flagged until the eligibility date, with an eligible-from date shown on every affected profile</w:t>
      </w:r>
    </w:p>
    <w:p>
      <w:pPr>
        <w:spacing w:after="90" w:line="290"/>
        <w:ind w:left="360"/>
      </w:pPr>
      <w:r>
        <w:rPr>
          <w:color w:val="6B7280"/>
          <w:sz w:val="20"/>
          <w:szCs w:val="20"/>
        </w:rPr>
        <w:t xml:space="preserve">•   </w:t>
      </w:r>
      <w:r>
        <w:rPr>
          <w:color w:val="2C3238"/>
          <w:sz w:val="20"/>
          <w:szCs w:val="20"/>
        </w:rPr>
        <w:t xml:space="preserve">Audit export: tenure position for every current and former contractor, on demand</w:t>
      </w:r>
    </w:p>
    <w:p>
      <w:pPr>
        <w:spacing w:after="200"/>
      </w:pPr>
      <w:r>
        <w:t xml:space="preserve"/>
      </w:r>
    </w:p>
    <w:p>
      <w:pPr>
        <w:spacing w:after="120" w:before="280"/>
      </w:pPr>
      <w:r>
        <w:rPr>
          <w:b/>
          <w:bCs/>
          <w:color w:val="14181D"/>
          <w:sz w:val="22"/>
          <w:szCs w:val="22"/>
        </w:rPr>
        <w:t xml:space="preserve">E.2.3  Interaction with Addendum D</w:t>
      </w:r>
    </w:p>
    <w:p>
      <w:pPr>
        <w:spacing w:after="150" w:line="300"/>
      </w:pPr>
      <w:r>
        <w:rPr>
          <w:b/>
          <w:bCs/>
          <w:color w:val="14181D"/>
          <w:sz w:val="20"/>
          <w:szCs w:val="20"/>
        </w:rPr>
        <w:t xml:space="preserve">The alumni re-engagement surface specified in D.3.6 is a co-employment risk generator and must be gated.</w:t>
      </w:r>
    </w:p>
    <w:p>
      <w:pPr>
        <w:spacing w:after="130" w:line="300"/>
      </w:pPr>
      <w:r>
        <w:rPr>
          <w:b w:val="false"/>
          <w:bCs w:val="false"/>
          <w:i w:val="false"/>
          <w:iCs w:val="false"/>
          <w:color w:val="2C3238"/>
          <w:sz w:val="20"/>
          <w:szCs w:val="20"/>
        </w:rPr>
        <w:t xml:space="preserve">Re-engaging a former contractor is precisely the action a break-in-service rule exists to control. The 'ask for them back' action must therefore check the TenureLedger before it is offered, not after it is taken. Where a person is inside their break period, the surface shows the eligibility date instead of the action.</w:t>
      </w:r>
    </w:p>
    <w:p>
      <w:pPr>
        <w:spacing w:after="130" w:line="300"/>
      </w:pPr>
      <w:r>
        <w:rPr>
          <w:b w:val="false"/>
          <w:bCs w:val="false"/>
          <w:i w:val="false"/>
          <w:iCs w:val="false"/>
          <w:color w:val="2C3238"/>
          <w:sz w:val="20"/>
          <w:szCs w:val="20"/>
        </w:rPr>
        <w:t xml:space="preserve">This is a constraint on Addendum D, not a contradiction of it. Alumni re-engagement remains the strongest demand-side feature in the platform; it simply cannot be offered blind.</w:t>
      </w:r>
    </w:p>
    <w:p>
      <w:pPr>
        <w:spacing w:after="200"/>
      </w:pPr>
      <w:r>
        <w:t xml:space="preserve"/>
      </w:r>
    </w:p>
    <w:p>
      <w:pPr>
        <w:spacing w:after="160" w:before="400"/>
      </w:pPr>
      <w:r>
        <w:rPr>
          <w:b/>
          <w:bCs/>
          <w:color w:val="14181D"/>
          <w:sz w:val="26"/>
          <w:szCs w:val="26"/>
        </w:rPr>
        <w:t xml:space="preserve">E.3  THE CLIENT IS NOT ONE PERSON</w:t>
      </w:r>
    </w:p>
    <w:p>
      <w:pPr>
        <w:spacing w:after="130" w:line="300"/>
      </w:pPr>
      <w:r>
        <w:rPr>
          <w:b w:val="false"/>
          <w:bCs w:val="false"/>
          <w:i w:val="false"/>
          <w:iCs w:val="false"/>
          <w:color w:val="2C3238"/>
          <w:sz w:val="20"/>
          <w:szCs w:val="20"/>
        </w:rPr>
        <w:t xml:space="preserve">The baseline models a client contact. A real programme has at least three distinct roles operating on three different time horizons, with no shared data between them. That absence is the root cause of the dispersion described in E.1.</w:t>
      </w:r>
    </w:p>
    <w:p>
      <w:pPr>
        <w:spacing w:after="200"/>
      </w:pPr>
      <w:r>
        <w:t xml:space="preserve"/>
      </w:r>
    </w:p>
    <w:tbl>
      <w:tblPr>
        <w:tblW w:type="dxa" w:w="8200"/>
        <w:tblBorders>
          <w:top w:val="single" w:color="D8D5CE" w:sz="2"/>
          <w:left w:val="single" w:color="D8D5CE" w:sz="2"/>
          <w:bottom w:val="single" w:color="D8D5CE" w:sz="2"/>
          <w:right w:val="single" w:color="D8D5CE" w:sz="2"/>
          <w:insideH w:val="single" w:color="D8D5CE" w:sz="2"/>
          <w:insideV w:val="single" w:color="D8D5CE" w:sz="2"/>
        </w:tblBorders>
      </w:tblPr>
      <w:tblGrid>
        <w:gridCol w:w="1500"/>
        <w:gridCol w:w="2100"/>
        <w:gridCol w:w="1100"/>
        <w:gridCol w:w="1900"/>
        <w:gridCol w:w="1600"/>
      </w:tblGrid>
      <w:tr>
        <w:trPr>
          <w:tblHeader/>
        </w:trPr>
        <w:tc>
          <w:tcPr>
            <w:tcW w:type="dxa" w:w="1500"/>
            <w:shd w:fill="F0EEE9" w:val="clear"/>
            <w:tcMar>
              <w:top w:type="dxa" w:w="110"/>
              <w:left w:type="dxa" w:w="130"/>
              <w:bottom w:type="dxa" w:w="110"/>
              <w:right w:type="dxa" w:w="130"/>
            </w:tcMar>
          </w:tcPr>
          <w:p>
            <w:pPr>
              <w:spacing w:after="40"/>
            </w:pPr>
            <w:r>
              <w:rPr>
                <w:b/>
                <w:bCs/>
                <w:color w:val="14181D"/>
                <w:sz w:val="18"/>
                <w:szCs w:val="18"/>
              </w:rPr>
              <w:t xml:space="preserve">Role</w:t>
            </w:r>
          </w:p>
        </w:tc>
        <w:tc>
          <w:tcPr>
            <w:tcW w:type="dxa" w:w="2100"/>
            <w:shd w:fill="F0EEE9" w:val="clear"/>
            <w:tcMar>
              <w:top w:type="dxa" w:w="110"/>
              <w:left w:type="dxa" w:w="130"/>
              <w:bottom w:type="dxa" w:w="110"/>
              <w:right w:type="dxa" w:w="130"/>
            </w:tcMar>
          </w:tcPr>
          <w:p>
            <w:pPr>
              <w:spacing w:after="40"/>
            </w:pPr>
            <w:r>
              <w:rPr>
                <w:b/>
                <w:bCs/>
                <w:color w:val="14181D"/>
                <w:sz w:val="18"/>
                <w:szCs w:val="18"/>
              </w:rPr>
              <w:t xml:space="preserve">Owns</w:t>
            </w:r>
          </w:p>
        </w:tc>
        <w:tc>
          <w:tcPr>
            <w:tcW w:type="dxa" w:w="1100"/>
            <w:shd w:fill="F0EEE9" w:val="clear"/>
            <w:tcMar>
              <w:top w:type="dxa" w:w="110"/>
              <w:left w:type="dxa" w:w="130"/>
              <w:bottom w:type="dxa" w:w="110"/>
              <w:right w:type="dxa" w:w="130"/>
            </w:tcMar>
          </w:tcPr>
          <w:p>
            <w:pPr>
              <w:spacing w:after="40"/>
            </w:pPr>
            <w:r>
              <w:rPr>
                <w:b/>
                <w:bCs/>
                <w:color w:val="14181D"/>
                <w:sz w:val="18"/>
                <w:szCs w:val="18"/>
              </w:rPr>
              <w:t xml:space="preserve">Horizon</w:t>
            </w:r>
          </w:p>
        </w:tc>
        <w:tc>
          <w:tcPr>
            <w:tcW w:type="dxa" w:w="1900"/>
            <w:shd w:fill="F0EEE9" w:val="clear"/>
            <w:tcMar>
              <w:top w:type="dxa" w:w="110"/>
              <w:left w:type="dxa" w:w="130"/>
              <w:bottom w:type="dxa" w:w="110"/>
              <w:right w:type="dxa" w:w="130"/>
            </w:tcMar>
          </w:tcPr>
          <w:p>
            <w:pPr>
              <w:spacing w:after="40"/>
            </w:pPr>
            <w:r>
              <w:rPr>
                <w:b/>
                <w:bCs/>
                <w:color w:val="14181D"/>
                <w:sz w:val="18"/>
                <w:szCs w:val="18"/>
              </w:rPr>
              <w:t xml:space="preserve">Measured on</w:t>
            </w:r>
          </w:p>
        </w:tc>
        <w:tc>
          <w:tcPr>
            <w:tcW w:type="dxa" w:w="1600"/>
            <w:shd w:fill="F0EEE9" w:val="clear"/>
            <w:tcMar>
              <w:top w:type="dxa" w:w="110"/>
              <w:left w:type="dxa" w:w="130"/>
              <w:bottom w:type="dxa" w:w="110"/>
              <w:right w:type="dxa" w:w="130"/>
            </w:tcMar>
          </w:tcPr>
          <w:p>
            <w:pPr>
              <w:spacing w:after="40"/>
            </w:pPr>
            <w:r>
              <w:rPr>
                <w:b/>
                <w:bCs/>
                <w:color w:val="14181D"/>
                <w:sz w:val="18"/>
                <w:szCs w:val="18"/>
              </w:rPr>
              <w:t xml:space="preserve">In v3.7</w:t>
            </w:r>
          </w:p>
        </w:tc>
      </w:tr>
      <w:tr>
        <w:tc>
          <w:tcPr>
            <w:tcW w:type="dxa" w:w="1500"/>
            <w:tcMar>
              <w:top w:type="dxa" w:w="110"/>
              <w:left w:type="dxa" w:w="130"/>
              <w:bottom w:type="dxa" w:w="110"/>
              <w:right w:type="dxa" w:w="130"/>
            </w:tcMar>
          </w:tcPr>
          <w:p>
            <w:pPr>
              <w:spacing w:after="40"/>
            </w:pPr>
            <w:r>
              <w:rPr>
                <w:b w:val="false"/>
                <w:bCs w:val="false"/>
                <w:color w:val="2C3238"/>
                <w:sz w:val="19"/>
                <w:szCs w:val="19"/>
              </w:rPr>
              <w:t xml:space="preserve">Hiring manager</w:t>
            </w:r>
          </w:p>
        </w:tc>
        <w:tc>
          <w:tcPr>
            <w:tcW w:type="dxa" w:w="2100"/>
            <w:tcMar>
              <w:top w:type="dxa" w:w="110"/>
              <w:left w:type="dxa" w:w="130"/>
              <w:bottom w:type="dxa" w:w="110"/>
              <w:right w:type="dxa" w:w="130"/>
            </w:tcMar>
          </w:tcPr>
          <w:p>
            <w:pPr>
              <w:spacing w:after="40"/>
            </w:pPr>
            <w:r>
              <w:rPr>
                <w:b w:val="false"/>
                <w:bCs w:val="false"/>
                <w:color w:val="2C3238"/>
                <w:sz w:val="19"/>
                <w:szCs w:val="19"/>
              </w:rPr>
              <w:t xml:space="preserve">The work and the person doing it</w:t>
            </w:r>
          </w:p>
        </w:tc>
        <w:tc>
          <w:tcPr>
            <w:tcW w:type="dxa" w:w="1100"/>
            <w:tcMar>
              <w:top w:type="dxa" w:w="110"/>
              <w:left w:type="dxa" w:w="130"/>
              <w:bottom w:type="dxa" w:w="110"/>
              <w:right w:type="dxa" w:w="130"/>
            </w:tcMar>
          </w:tcPr>
          <w:p>
            <w:pPr>
              <w:spacing w:after="40"/>
            </w:pPr>
            <w:r>
              <w:rPr>
                <w:b w:val="false"/>
                <w:bCs w:val="false"/>
                <w:color w:val="2C3238"/>
                <w:sz w:val="19"/>
                <w:szCs w:val="19"/>
              </w:rPr>
              <w:t xml:space="preserve">This week</w:t>
            </w:r>
          </w:p>
        </w:tc>
        <w:tc>
          <w:tcPr>
            <w:tcW w:type="dxa" w:w="1900"/>
            <w:tcMar>
              <w:top w:type="dxa" w:w="110"/>
              <w:left w:type="dxa" w:w="130"/>
              <w:bottom w:type="dxa" w:w="110"/>
              <w:right w:type="dxa" w:w="130"/>
            </w:tcMar>
          </w:tcPr>
          <w:p>
            <w:pPr>
              <w:spacing w:after="40"/>
            </w:pPr>
            <w:r>
              <w:rPr>
                <w:b w:val="false"/>
                <w:bCs w:val="false"/>
                <w:color w:val="2C3238"/>
                <w:sz w:val="19"/>
                <w:szCs w:val="19"/>
              </w:rPr>
              <w:t xml:space="preserve">Delivery, speed to fill</w:t>
            </w:r>
          </w:p>
        </w:tc>
        <w:tc>
          <w:tcPr>
            <w:tcW w:type="dxa" w:w="1600"/>
            <w:tcMar>
              <w:top w:type="dxa" w:w="110"/>
              <w:left w:type="dxa" w:w="130"/>
              <w:bottom w:type="dxa" w:w="110"/>
              <w:right w:type="dxa" w:w="130"/>
            </w:tcMar>
          </w:tcPr>
          <w:p>
            <w:pPr>
              <w:spacing w:after="40"/>
            </w:pPr>
            <w:r>
              <w:rPr>
                <w:b w:val="false"/>
                <w:bCs w:val="false"/>
                <w:color w:val="2C3238"/>
                <w:sz w:val="19"/>
                <w:szCs w:val="19"/>
              </w:rPr>
              <w:t xml:space="preserve">Partially — as client contact</w:t>
            </w:r>
          </w:p>
        </w:tc>
      </w:tr>
      <w:tr>
        <w:tc>
          <w:tcPr>
            <w:tcW w:type="dxa" w:w="1500"/>
            <w:tcMar>
              <w:top w:type="dxa" w:w="110"/>
              <w:left w:type="dxa" w:w="130"/>
              <w:bottom w:type="dxa" w:w="110"/>
              <w:right w:type="dxa" w:w="130"/>
            </w:tcMar>
          </w:tcPr>
          <w:p>
            <w:pPr>
              <w:spacing w:after="40"/>
            </w:pPr>
            <w:r>
              <w:rPr>
                <w:b w:val="false"/>
                <w:bCs w:val="false"/>
                <w:color w:val="2C3238"/>
                <w:sz w:val="19"/>
                <w:szCs w:val="19"/>
              </w:rPr>
              <w:t xml:space="preserve">Indirect procurement</w:t>
            </w:r>
          </w:p>
        </w:tc>
        <w:tc>
          <w:tcPr>
            <w:tcW w:type="dxa" w:w="2100"/>
            <w:tcMar>
              <w:top w:type="dxa" w:w="110"/>
              <w:left w:type="dxa" w:w="130"/>
              <w:bottom w:type="dxa" w:w="110"/>
              <w:right w:type="dxa" w:w="130"/>
            </w:tcMar>
          </w:tcPr>
          <w:p>
            <w:pPr>
              <w:spacing w:after="40"/>
            </w:pPr>
            <w:r>
              <w:rPr>
                <w:b w:val="false"/>
                <w:bCs w:val="false"/>
                <w:color w:val="2C3238"/>
                <w:sz w:val="19"/>
                <w:szCs w:val="19"/>
              </w:rPr>
              <w:t xml:space="preserve">Suppliers, rate cards, MSAs, category strategy</w:t>
            </w:r>
          </w:p>
        </w:tc>
        <w:tc>
          <w:tcPr>
            <w:tcW w:type="dxa" w:w="1100"/>
            <w:tcMar>
              <w:top w:type="dxa" w:w="110"/>
              <w:left w:type="dxa" w:w="130"/>
              <w:bottom w:type="dxa" w:w="110"/>
              <w:right w:type="dxa" w:w="130"/>
            </w:tcMar>
          </w:tcPr>
          <w:p>
            <w:pPr>
              <w:spacing w:after="40"/>
            </w:pPr>
            <w:r>
              <w:rPr>
                <w:b w:val="false"/>
                <w:bCs w:val="false"/>
                <w:color w:val="2C3238"/>
                <w:sz w:val="19"/>
                <w:szCs w:val="19"/>
              </w:rPr>
              <w:t xml:space="preserve">Contract cycle, annual</w:t>
            </w:r>
          </w:p>
        </w:tc>
        <w:tc>
          <w:tcPr>
            <w:tcW w:type="dxa" w:w="1900"/>
            <w:tcMar>
              <w:top w:type="dxa" w:w="110"/>
              <w:left w:type="dxa" w:w="130"/>
              <w:bottom w:type="dxa" w:w="110"/>
              <w:right w:type="dxa" w:w="130"/>
            </w:tcMar>
          </w:tcPr>
          <w:p>
            <w:pPr>
              <w:spacing w:after="40"/>
            </w:pPr>
            <w:r>
              <w:rPr>
                <w:b w:val="false"/>
                <w:bCs w:val="false"/>
                <w:color w:val="2C3238"/>
                <w:sz w:val="19"/>
                <w:szCs w:val="19"/>
              </w:rPr>
              <w:t xml:space="preserve">Cost avoidance, supplier count, compliance</w:t>
            </w:r>
          </w:p>
        </w:tc>
        <w:tc>
          <w:tcPr>
            <w:tcW w:type="dxa" w:w="1600"/>
            <w:tcMar>
              <w:top w:type="dxa" w:w="110"/>
              <w:left w:type="dxa" w:w="130"/>
              <w:bottom w:type="dxa" w:w="110"/>
              <w:right w:type="dxa" w:w="130"/>
            </w:tcMar>
          </w:tcPr>
          <w:p>
            <w:pPr>
              <w:spacing w:after="40"/>
            </w:pPr>
            <w:r>
              <w:rPr>
                <w:b w:val="false"/>
                <w:bCs w:val="false"/>
                <w:color w:val="2C3238"/>
                <w:sz w:val="19"/>
                <w:szCs w:val="19"/>
              </w:rPr>
              <w:t xml:space="preserve">No</w:t>
            </w:r>
          </w:p>
        </w:tc>
      </w:tr>
      <w:tr>
        <w:tc>
          <w:tcPr>
            <w:tcW w:type="dxa" w:w="1500"/>
            <w:tcMar>
              <w:top w:type="dxa" w:w="110"/>
              <w:left w:type="dxa" w:w="130"/>
              <w:bottom w:type="dxa" w:w="110"/>
              <w:right w:type="dxa" w:w="130"/>
            </w:tcMar>
          </w:tcPr>
          <w:p>
            <w:pPr>
              <w:spacing w:after="40"/>
            </w:pPr>
            <w:r>
              <w:rPr>
                <w:b w:val="false"/>
                <w:bCs w:val="false"/>
                <w:color w:val="2C3238"/>
                <w:sz w:val="19"/>
                <w:szCs w:val="19"/>
              </w:rPr>
              <w:t xml:space="preserve">Workforce planning</w:t>
            </w:r>
          </w:p>
        </w:tc>
        <w:tc>
          <w:tcPr>
            <w:tcW w:type="dxa" w:w="2100"/>
            <w:tcMar>
              <w:top w:type="dxa" w:w="110"/>
              <w:left w:type="dxa" w:w="130"/>
              <w:bottom w:type="dxa" w:w="110"/>
              <w:right w:type="dxa" w:w="130"/>
            </w:tcMar>
          </w:tcPr>
          <w:p>
            <w:pPr>
              <w:spacing w:after="40"/>
            </w:pPr>
            <w:r>
              <w:rPr>
                <w:b w:val="false"/>
                <w:bCs w:val="false"/>
                <w:color w:val="2C3238"/>
                <w:sz w:val="19"/>
                <w:szCs w:val="19"/>
              </w:rPr>
              <w:t xml:space="preserve">Headcount plan, forecast, run rate</w:t>
            </w:r>
          </w:p>
        </w:tc>
        <w:tc>
          <w:tcPr>
            <w:tcW w:type="dxa" w:w="1100"/>
            <w:tcMar>
              <w:top w:type="dxa" w:w="110"/>
              <w:left w:type="dxa" w:w="130"/>
              <w:bottom w:type="dxa" w:w="110"/>
              <w:right w:type="dxa" w:w="130"/>
            </w:tcMar>
          </w:tcPr>
          <w:p>
            <w:pPr>
              <w:spacing w:after="40"/>
            </w:pPr>
            <w:r>
              <w:rPr>
                <w:b w:val="false"/>
                <w:bCs w:val="false"/>
                <w:color w:val="2C3238"/>
                <w:sz w:val="19"/>
                <w:szCs w:val="19"/>
              </w:rPr>
              <w:t xml:space="preserve">Quarterly, annual</w:t>
            </w:r>
          </w:p>
        </w:tc>
        <w:tc>
          <w:tcPr>
            <w:tcW w:type="dxa" w:w="1900"/>
            <w:tcMar>
              <w:top w:type="dxa" w:w="110"/>
              <w:left w:type="dxa" w:w="130"/>
              <w:bottom w:type="dxa" w:w="110"/>
              <w:right w:type="dxa" w:w="130"/>
            </w:tcMar>
          </w:tcPr>
          <w:p>
            <w:pPr>
              <w:spacing w:after="40"/>
            </w:pPr>
            <w:r>
              <w:rPr>
                <w:b w:val="false"/>
                <w:bCs w:val="false"/>
                <w:color w:val="2C3238"/>
                <w:sz w:val="19"/>
                <w:szCs w:val="19"/>
              </w:rPr>
              <w:t xml:space="preserve">Plan accuracy, budget variance</w:t>
            </w:r>
          </w:p>
        </w:tc>
        <w:tc>
          <w:tcPr>
            <w:tcW w:type="dxa" w:w="1600"/>
            <w:tcMar>
              <w:top w:type="dxa" w:w="110"/>
              <w:left w:type="dxa" w:w="130"/>
              <w:bottom w:type="dxa" w:w="110"/>
              <w:right w:type="dxa" w:w="130"/>
            </w:tcMar>
          </w:tcPr>
          <w:p>
            <w:pPr>
              <w:spacing w:after="40"/>
            </w:pPr>
            <w:r>
              <w:rPr>
                <w:b w:val="false"/>
                <w:bCs w:val="false"/>
                <w:color w:val="2C3238"/>
                <w:sz w:val="19"/>
                <w:szCs w:val="19"/>
              </w:rPr>
              <w:t xml:space="preserve">No</w:t>
            </w:r>
          </w:p>
        </w:tc>
      </w:tr>
      <w:tr>
        <w:tc>
          <w:tcPr>
            <w:tcW w:type="dxa" w:w="1500"/>
            <w:tcMar>
              <w:top w:type="dxa" w:w="110"/>
              <w:left w:type="dxa" w:w="130"/>
              <w:bottom w:type="dxa" w:w="110"/>
              <w:right w:type="dxa" w:w="130"/>
            </w:tcMar>
          </w:tcPr>
          <w:p>
            <w:pPr>
              <w:spacing w:after="40"/>
            </w:pPr>
            <w:r>
              <w:rPr>
                <w:b w:val="false"/>
                <w:bCs w:val="false"/>
                <w:color w:val="2C3238"/>
                <w:sz w:val="19"/>
                <w:szCs w:val="19"/>
              </w:rPr>
              <w:t xml:space="preserve">Finance</w:t>
            </w:r>
          </w:p>
        </w:tc>
        <w:tc>
          <w:tcPr>
            <w:tcW w:type="dxa" w:w="2100"/>
            <w:tcMar>
              <w:top w:type="dxa" w:w="110"/>
              <w:left w:type="dxa" w:w="130"/>
              <w:bottom w:type="dxa" w:w="110"/>
              <w:right w:type="dxa" w:w="130"/>
            </w:tcMar>
          </w:tcPr>
          <w:p>
            <w:pPr>
              <w:spacing w:after="40"/>
            </w:pPr>
            <w:r>
              <w:rPr>
                <w:b w:val="false"/>
                <w:bCs w:val="false"/>
                <w:color w:val="2C3238"/>
                <w:sz w:val="19"/>
                <w:szCs w:val="19"/>
              </w:rPr>
              <w:t xml:space="preserve">Budget, accrual, invoice approval</w:t>
            </w:r>
          </w:p>
        </w:tc>
        <w:tc>
          <w:tcPr>
            <w:tcW w:type="dxa" w:w="1100"/>
            <w:tcMar>
              <w:top w:type="dxa" w:w="110"/>
              <w:left w:type="dxa" w:w="130"/>
              <w:bottom w:type="dxa" w:w="110"/>
              <w:right w:type="dxa" w:w="130"/>
            </w:tcMar>
          </w:tcPr>
          <w:p>
            <w:pPr>
              <w:spacing w:after="40"/>
            </w:pPr>
            <w:r>
              <w:rPr>
                <w:b w:val="false"/>
                <w:bCs w:val="false"/>
                <w:color w:val="2C3238"/>
                <w:sz w:val="19"/>
                <w:szCs w:val="19"/>
              </w:rPr>
              <w:t xml:space="preserve">Monthly close</w:t>
            </w:r>
          </w:p>
        </w:tc>
        <w:tc>
          <w:tcPr>
            <w:tcW w:type="dxa" w:w="1900"/>
            <w:tcMar>
              <w:top w:type="dxa" w:w="110"/>
              <w:left w:type="dxa" w:w="130"/>
              <w:bottom w:type="dxa" w:w="110"/>
              <w:right w:type="dxa" w:w="130"/>
            </w:tcMar>
          </w:tcPr>
          <w:p>
            <w:pPr>
              <w:spacing w:after="40"/>
            </w:pPr>
            <w:r>
              <w:rPr>
                <w:b w:val="false"/>
                <w:bCs w:val="false"/>
                <w:color w:val="2C3238"/>
                <w:sz w:val="19"/>
                <w:szCs w:val="19"/>
              </w:rPr>
              <w:t xml:space="preserve">Accuracy, spend control</w:t>
            </w:r>
          </w:p>
        </w:tc>
        <w:tc>
          <w:tcPr>
            <w:tcW w:type="dxa" w:w="1600"/>
            <w:tcMar>
              <w:top w:type="dxa" w:w="110"/>
              <w:left w:type="dxa" w:w="130"/>
              <w:bottom w:type="dxa" w:w="110"/>
              <w:right w:type="dxa" w:w="130"/>
            </w:tcMar>
          </w:tcPr>
          <w:p>
            <w:pPr>
              <w:spacing w:after="40"/>
            </w:pPr>
            <w:r>
              <w:rPr>
                <w:b w:val="false"/>
                <w:bCs w:val="false"/>
                <w:color w:val="2C3238"/>
                <w:sz w:val="19"/>
                <w:szCs w:val="19"/>
              </w:rPr>
              <w:t xml:space="preserve">No</w:t>
            </w:r>
          </w:p>
        </w:tc>
      </w:tr>
      <w:tr>
        <w:tc>
          <w:tcPr>
            <w:tcW w:type="dxa" w:w="1500"/>
            <w:tcMar>
              <w:top w:type="dxa" w:w="110"/>
              <w:left w:type="dxa" w:w="130"/>
              <w:bottom w:type="dxa" w:w="110"/>
              <w:right w:type="dxa" w:w="130"/>
            </w:tcMar>
          </w:tcPr>
          <w:p>
            <w:pPr>
              <w:spacing w:after="40"/>
            </w:pPr>
            <w:r>
              <w:rPr>
                <w:b w:val="false"/>
                <w:bCs w:val="false"/>
                <w:color w:val="2C3238"/>
                <w:sz w:val="19"/>
                <w:szCs w:val="19"/>
              </w:rPr>
              <w:t xml:space="preserve">Legal / Compliance</w:t>
            </w:r>
          </w:p>
        </w:tc>
        <w:tc>
          <w:tcPr>
            <w:tcW w:type="dxa" w:w="2100"/>
            <w:tcMar>
              <w:top w:type="dxa" w:w="110"/>
              <w:left w:type="dxa" w:w="130"/>
              <w:bottom w:type="dxa" w:w="110"/>
              <w:right w:type="dxa" w:w="130"/>
            </w:tcMar>
          </w:tcPr>
          <w:p>
            <w:pPr>
              <w:spacing w:after="40"/>
            </w:pPr>
            <w:r>
              <w:rPr>
                <w:b w:val="false"/>
                <w:bCs w:val="false"/>
                <w:color w:val="2C3238"/>
                <w:sz w:val="19"/>
                <w:szCs w:val="19"/>
              </w:rPr>
              <w:t xml:space="preserve">Classification, MSA terms, tenure policy</w:t>
            </w:r>
          </w:p>
        </w:tc>
        <w:tc>
          <w:tcPr>
            <w:tcW w:type="dxa" w:w="1100"/>
            <w:tcMar>
              <w:top w:type="dxa" w:w="110"/>
              <w:left w:type="dxa" w:w="130"/>
              <w:bottom w:type="dxa" w:w="110"/>
              <w:right w:type="dxa" w:w="130"/>
            </w:tcMar>
          </w:tcPr>
          <w:p>
            <w:pPr>
              <w:spacing w:after="40"/>
            </w:pPr>
            <w:r>
              <w:rPr>
                <w:b w:val="false"/>
                <w:bCs w:val="false"/>
                <w:color w:val="2C3238"/>
                <w:sz w:val="19"/>
                <w:szCs w:val="19"/>
              </w:rPr>
              <w:t xml:space="preserve">Continuous</w:t>
            </w:r>
          </w:p>
        </w:tc>
        <w:tc>
          <w:tcPr>
            <w:tcW w:type="dxa" w:w="1900"/>
            <w:tcMar>
              <w:top w:type="dxa" w:w="110"/>
              <w:left w:type="dxa" w:w="130"/>
              <w:bottom w:type="dxa" w:w="110"/>
              <w:right w:type="dxa" w:w="130"/>
            </w:tcMar>
          </w:tcPr>
          <w:p>
            <w:pPr>
              <w:spacing w:after="40"/>
            </w:pPr>
            <w:r>
              <w:rPr>
                <w:b w:val="false"/>
                <w:bCs w:val="false"/>
                <w:color w:val="2C3238"/>
                <w:sz w:val="19"/>
                <w:szCs w:val="19"/>
              </w:rPr>
              <w:t xml:space="preserve">Exposure, audit outcome</w:t>
            </w:r>
          </w:p>
        </w:tc>
        <w:tc>
          <w:tcPr>
            <w:tcW w:type="dxa" w:w="1600"/>
            <w:tcMar>
              <w:top w:type="dxa" w:w="110"/>
              <w:left w:type="dxa" w:w="130"/>
              <w:bottom w:type="dxa" w:w="110"/>
              <w:right w:type="dxa" w:w="130"/>
            </w:tcMar>
          </w:tcPr>
          <w:p>
            <w:pPr>
              <w:spacing w:after="40"/>
            </w:pPr>
            <w:r>
              <w:rPr>
                <w:b w:val="false"/>
                <w:bCs w:val="false"/>
                <w:color w:val="2C3238"/>
                <w:sz w:val="19"/>
                <w:szCs w:val="19"/>
              </w:rPr>
              <w:t xml:space="preserve">No</w:t>
            </w:r>
          </w:p>
        </w:tc>
      </w:tr>
      <w:tr>
        <w:tc>
          <w:tcPr>
            <w:tcW w:type="dxa" w:w="1500"/>
            <w:tcMar>
              <w:top w:type="dxa" w:w="110"/>
              <w:left w:type="dxa" w:w="130"/>
              <w:bottom w:type="dxa" w:w="110"/>
              <w:right w:type="dxa" w:w="130"/>
            </w:tcMar>
          </w:tcPr>
          <w:p>
            <w:pPr>
              <w:spacing w:after="40"/>
            </w:pPr>
            <w:r>
              <w:rPr>
                <w:b w:val="false"/>
                <w:bCs w:val="false"/>
                <w:color w:val="2C3238"/>
                <w:sz w:val="19"/>
                <w:szCs w:val="19"/>
              </w:rPr>
              <w:t xml:space="preserve">IT Security</w:t>
            </w:r>
          </w:p>
        </w:tc>
        <w:tc>
          <w:tcPr>
            <w:tcW w:type="dxa" w:w="2100"/>
            <w:tcMar>
              <w:top w:type="dxa" w:w="110"/>
              <w:left w:type="dxa" w:w="130"/>
              <w:bottom w:type="dxa" w:w="110"/>
              <w:right w:type="dxa" w:w="130"/>
            </w:tcMar>
          </w:tcPr>
          <w:p>
            <w:pPr>
              <w:spacing w:after="40"/>
            </w:pPr>
            <w:r>
              <w:rPr>
                <w:b w:val="false"/>
                <w:bCs w:val="false"/>
                <w:color w:val="2C3238"/>
                <w:sz w:val="19"/>
                <w:szCs w:val="19"/>
              </w:rPr>
              <w:t xml:space="preserve">Access provisioning and revocation</w:t>
            </w:r>
          </w:p>
        </w:tc>
        <w:tc>
          <w:tcPr>
            <w:tcW w:type="dxa" w:w="1100"/>
            <w:tcMar>
              <w:top w:type="dxa" w:w="110"/>
              <w:left w:type="dxa" w:w="130"/>
              <w:bottom w:type="dxa" w:w="110"/>
              <w:right w:type="dxa" w:w="130"/>
            </w:tcMar>
          </w:tcPr>
          <w:p>
            <w:pPr>
              <w:spacing w:after="40"/>
            </w:pPr>
            <w:r>
              <w:rPr>
                <w:b w:val="false"/>
                <w:bCs w:val="false"/>
                <w:color w:val="2C3238"/>
                <w:sz w:val="19"/>
                <w:szCs w:val="19"/>
              </w:rPr>
              <w:t xml:space="preserve">Same-day</w:t>
            </w:r>
          </w:p>
        </w:tc>
        <w:tc>
          <w:tcPr>
            <w:tcW w:type="dxa" w:w="1900"/>
            <w:tcMar>
              <w:top w:type="dxa" w:w="110"/>
              <w:left w:type="dxa" w:w="130"/>
              <w:bottom w:type="dxa" w:w="110"/>
              <w:right w:type="dxa" w:w="130"/>
            </w:tcMar>
          </w:tcPr>
          <w:p>
            <w:pPr>
              <w:spacing w:after="40"/>
            </w:pPr>
            <w:r>
              <w:rPr>
                <w:b w:val="false"/>
                <w:bCs w:val="false"/>
                <w:color w:val="2C3238"/>
                <w:sz w:val="19"/>
                <w:szCs w:val="19"/>
              </w:rPr>
              <w:t xml:space="preserve">Revocation SLA</w:t>
            </w:r>
          </w:p>
        </w:tc>
        <w:tc>
          <w:tcPr>
            <w:tcW w:type="dxa" w:w="1600"/>
            <w:tcMar>
              <w:top w:type="dxa" w:w="110"/>
              <w:left w:type="dxa" w:w="130"/>
              <w:bottom w:type="dxa" w:w="110"/>
              <w:right w:type="dxa" w:w="130"/>
            </w:tcMar>
          </w:tcPr>
          <w:p>
            <w:pPr>
              <w:spacing w:after="40"/>
            </w:pPr>
            <w:r>
              <w:rPr>
                <w:b w:val="false"/>
                <w:bCs w:val="false"/>
                <w:color w:val="2C3238"/>
                <w:sz w:val="19"/>
                <w:szCs w:val="19"/>
              </w:rPr>
              <w:t xml:space="preserve">Partial — in rolloff fan-out</w:t>
            </w:r>
          </w:p>
        </w:tc>
      </w:tr>
    </w:tbl>
    <w:p>
      <w:pPr>
        <w:spacing w:after="200"/>
      </w:pPr>
      <w:r>
        <w:t xml:space="preserve"/>
      </w:r>
    </w:p>
    <w:p>
      <w:pPr>
        <w:spacing w:after="150" w:line="300"/>
      </w:pPr>
      <w:r>
        <w:rPr>
          <w:b/>
          <w:bCs/>
          <w:color w:val="14181D"/>
          <w:sz w:val="20"/>
          <w:szCs w:val="20"/>
        </w:rPr>
        <w:t xml:space="preserve">The structural problem: the manager acts today, procurement negotiates annually, planning forecasts quarterly, and none of the three sees the same data.</w:t>
      </w:r>
    </w:p>
    <w:p>
      <w:pPr>
        <w:spacing w:after="130" w:line="300"/>
      </w:pPr>
      <w:r>
        <w:rPr>
          <w:b w:val="false"/>
          <w:bCs w:val="false"/>
          <w:i w:val="false"/>
          <w:iCs w:val="false"/>
          <w:color w:val="2C3238"/>
          <w:sz w:val="20"/>
          <w:szCs w:val="20"/>
        </w:rPr>
        <w:t xml:space="preserve">Etyme's contribution is not to add approval steps. It is to give the three roles one shared record, so that procurement sees demand as it forms rather than as it appears on an invoice, and planning sees commitments rather than reconstructing them.</w:t>
      </w:r>
    </w:p>
    <w:p>
      <w:pPr>
        <w:spacing w:after="200"/>
      </w:pPr>
      <w:r>
        <w:t xml:space="preserve"/>
      </w:r>
    </w:p>
    <w:p>
      <w:pPr>
        <w:spacing w:after="160" w:before="400"/>
      </w:pPr>
      <w:r>
        <w:rPr>
          <w:b/>
          <w:bCs/>
          <w:color w:val="14181D"/>
          <w:sz w:val="26"/>
          <w:szCs w:val="26"/>
        </w:rPr>
        <w:t xml:space="preserve">E.4  REQUISITION APPROVAL</w:t>
      </w:r>
    </w:p>
    <w:p>
      <w:pPr>
        <w:spacing w:after="150" w:line="300"/>
      </w:pPr>
      <w:r>
        <w:rPr>
          <w:b/>
          <w:bCs/>
          <w:color w:val="14181D"/>
          <w:sz w:val="20"/>
          <w:szCs w:val="20"/>
        </w:rPr>
        <w:t xml:space="preserve">Design principle: the majority of requisitions must clear without human approval.</w:t>
      </w:r>
    </w:p>
    <w:p>
      <w:pPr>
        <w:spacing w:after="130" w:line="300"/>
      </w:pPr>
      <w:r>
        <w:rPr>
          <w:b w:val="false"/>
          <w:bCs w:val="false"/>
          <w:i w:val="false"/>
          <w:iCs w:val="false"/>
          <w:color w:val="2C3238"/>
          <w:sz w:val="20"/>
          <w:szCs w:val="20"/>
        </w:rPr>
        <w:t xml:space="preserve">A governance layer that stops everything is routed around, and the routing around is the fourteen-vendor tail. Approval exists to catch the exception, not to process the norm.</w:t>
      </w:r>
    </w:p>
    <w:p>
      <w:pPr>
        <w:spacing w:after="200"/>
      </w:pPr>
      <w:r>
        <w:t xml:space="preserve"/>
      </w:r>
    </w:p>
    <w:tbl>
      <w:tblPr>
        <w:tblW w:type="dxa" w:w="9000"/>
        <w:tblBorders>
          <w:top w:val="single" w:color="D8D5CE" w:sz="2"/>
          <w:left w:val="single" w:color="D8D5CE" w:sz="2"/>
          <w:bottom w:val="single" w:color="D8D5CE" w:sz="2"/>
          <w:right w:val="single" w:color="D8D5CE" w:sz="2"/>
          <w:insideH w:val="single" w:color="D8D5CE" w:sz="2"/>
          <w:insideV w:val="single" w:color="D8D5CE" w:sz="2"/>
        </w:tblBorders>
      </w:tblPr>
      <w:tblGrid>
        <w:gridCol w:w="2900"/>
        <w:gridCol w:w="6100"/>
      </w:tblGrid>
      <w:tr>
        <w:trPr>
          <w:tblHeader/>
        </w:trPr>
        <w:tc>
          <w:tcPr>
            <w:tcW w:type="dxa" w:w="2900"/>
            <w:shd w:fill="F0EEE9" w:val="clear"/>
            <w:tcMar>
              <w:top w:type="dxa" w:w="110"/>
              <w:left w:type="dxa" w:w="130"/>
              <w:bottom w:type="dxa" w:w="110"/>
              <w:right w:type="dxa" w:w="130"/>
            </w:tcMar>
          </w:tcPr>
          <w:p>
            <w:pPr>
              <w:spacing w:after="40"/>
            </w:pPr>
            <w:r>
              <w:rPr>
                <w:b/>
                <w:bCs/>
                <w:color w:val="14181D"/>
                <w:sz w:val="18"/>
                <w:szCs w:val="18"/>
              </w:rPr>
              <w:t xml:space="preserve">Condition</w:t>
            </w:r>
          </w:p>
        </w:tc>
        <w:tc>
          <w:tcPr>
            <w:tcW w:type="dxa" w:w="6100"/>
            <w:shd w:fill="F0EEE9" w:val="clear"/>
            <w:tcMar>
              <w:top w:type="dxa" w:w="110"/>
              <w:left w:type="dxa" w:w="130"/>
              <w:bottom w:type="dxa" w:w="110"/>
              <w:right w:type="dxa" w:w="130"/>
            </w:tcMar>
          </w:tcPr>
          <w:p>
            <w:pPr>
              <w:spacing w:after="40"/>
            </w:pPr>
            <w:r>
              <w:rPr>
                <w:b/>
                <w:bCs/>
                <w:color w:val="14181D"/>
                <w:sz w:val="18"/>
                <w:szCs w:val="18"/>
              </w:rPr>
              <w:t xml:space="preserve">Path</w:t>
            </w:r>
          </w:p>
        </w:tc>
      </w:tr>
      <w:tr>
        <w:tc>
          <w:tcPr>
            <w:tcW w:type="dxa" w:w="2900"/>
            <w:tcMar>
              <w:top w:type="dxa" w:w="110"/>
              <w:left w:type="dxa" w:w="130"/>
              <w:bottom w:type="dxa" w:w="110"/>
              <w:right w:type="dxa" w:w="130"/>
            </w:tcMar>
          </w:tcPr>
          <w:p>
            <w:pPr>
              <w:spacing w:after="40"/>
            </w:pPr>
            <w:r>
              <w:rPr>
                <w:b w:val="false"/>
                <w:bCs w:val="false"/>
                <w:color w:val="2C3238"/>
                <w:sz w:val="19"/>
                <w:szCs w:val="19"/>
              </w:rPr>
              <w:t xml:space="preserve">Within rate band, within plan, approved vendor</w:t>
            </w:r>
          </w:p>
        </w:tc>
        <w:tc>
          <w:tcPr>
            <w:tcW w:type="dxa" w:w="6100"/>
            <w:tcMar>
              <w:top w:type="dxa" w:w="110"/>
              <w:left w:type="dxa" w:w="130"/>
              <w:bottom w:type="dxa" w:w="110"/>
              <w:right w:type="dxa" w:w="130"/>
            </w:tcMar>
          </w:tcPr>
          <w:p>
            <w:pPr>
              <w:spacing w:after="40"/>
            </w:pPr>
            <w:r>
              <w:rPr>
                <w:b w:val="false"/>
                <w:bCs w:val="false"/>
                <w:color w:val="2C3238"/>
                <w:sz w:val="19"/>
                <w:szCs w:val="19"/>
              </w:rPr>
              <w:t xml:space="preserve">Auto-cleared. Manager publishes directly. Logged, not reviewed.</w:t>
            </w:r>
          </w:p>
        </w:tc>
      </w:tr>
      <w:tr>
        <w:tc>
          <w:tcPr>
            <w:tcW w:type="dxa" w:w="2900"/>
            <w:tcMar>
              <w:top w:type="dxa" w:w="110"/>
              <w:left w:type="dxa" w:w="130"/>
              <w:bottom w:type="dxa" w:w="110"/>
              <w:right w:type="dxa" w:w="130"/>
            </w:tcMar>
          </w:tcPr>
          <w:p>
            <w:pPr>
              <w:spacing w:after="40"/>
            </w:pPr>
            <w:r>
              <w:rPr>
                <w:b w:val="false"/>
                <w:bCs w:val="false"/>
                <w:color w:val="2C3238"/>
                <w:sz w:val="19"/>
                <w:szCs w:val="19"/>
              </w:rPr>
              <w:t xml:space="preserve">Outside rate band</w:t>
            </w:r>
          </w:p>
        </w:tc>
        <w:tc>
          <w:tcPr>
            <w:tcW w:type="dxa" w:w="6100"/>
            <w:tcMar>
              <w:top w:type="dxa" w:w="110"/>
              <w:left w:type="dxa" w:w="130"/>
              <w:bottom w:type="dxa" w:w="110"/>
              <w:right w:type="dxa" w:w="130"/>
            </w:tcMar>
          </w:tcPr>
          <w:p>
            <w:pPr>
              <w:spacing w:after="40"/>
            </w:pPr>
            <w:r>
              <w:rPr>
                <w:b w:val="false"/>
                <w:bCs w:val="false"/>
                <w:color w:val="2C3238"/>
                <w:sz w:val="19"/>
                <w:szCs w:val="19"/>
              </w:rPr>
              <w:t xml:space="preserve">Procurement approval. Reason captured and reported.</w:t>
            </w:r>
          </w:p>
        </w:tc>
      </w:tr>
      <w:tr>
        <w:tc>
          <w:tcPr>
            <w:tcW w:type="dxa" w:w="2900"/>
            <w:tcMar>
              <w:top w:type="dxa" w:w="110"/>
              <w:left w:type="dxa" w:w="130"/>
              <w:bottom w:type="dxa" w:w="110"/>
              <w:right w:type="dxa" w:w="130"/>
            </w:tcMar>
          </w:tcPr>
          <w:p>
            <w:pPr>
              <w:spacing w:after="40"/>
            </w:pPr>
            <w:r>
              <w:rPr>
                <w:b w:val="false"/>
                <w:bCs w:val="false"/>
                <w:color w:val="2C3238"/>
                <w:sz w:val="19"/>
                <w:szCs w:val="19"/>
              </w:rPr>
              <w:t xml:space="preserve">Not in headcount plan</w:t>
            </w:r>
          </w:p>
        </w:tc>
        <w:tc>
          <w:tcPr>
            <w:tcW w:type="dxa" w:w="6100"/>
            <w:tcMar>
              <w:top w:type="dxa" w:w="110"/>
              <w:left w:type="dxa" w:w="130"/>
              <w:bottom w:type="dxa" w:w="110"/>
              <w:right w:type="dxa" w:w="130"/>
            </w:tcMar>
          </w:tcPr>
          <w:p>
            <w:pPr>
              <w:spacing w:after="40"/>
            </w:pPr>
            <w:r>
              <w:rPr>
                <w:b w:val="false"/>
                <w:bCs w:val="false"/>
                <w:color w:val="2C3238"/>
                <w:sz w:val="19"/>
                <w:szCs w:val="19"/>
              </w:rPr>
              <w:t xml:space="preserve">Planning approval. Becomes a plan amendment, not a silent addition.</w:t>
            </w:r>
          </w:p>
        </w:tc>
      </w:tr>
      <w:tr>
        <w:tc>
          <w:tcPr>
            <w:tcW w:type="dxa" w:w="2900"/>
            <w:tcMar>
              <w:top w:type="dxa" w:w="110"/>
              <w:left w:type="dxa" w:w="130"/>
              <w:bottom w:type="dxa" w:w="110"/>
              <w:right w:type="dxa" w:w="130"/>
            </w:tcMar>
          </w:tcPr>
          <w:p>
            <w:pPr>
              <w:spacing w:after="40"/>
            </w:pPr>
            <w:r>
              <w:rPr>
                <w:b w:val="false"/>
                <w:bCs w:val="false"/>
                <w:color w:val="2C3238"/>
                <w:sz w:val="19"/>
                <w:szCs w:val="19"/>
              </w:rPr>
              <w:t xml:space="preserve">New vendor required</w:t>
            </w:r>
          </w:p>
        </w:tc>
        <w:tc>
          <w:tcPr>
            <w:tcW w:type="dxa" w:w="6100"/>
            <w:tcMar>
              <w:top w:type="dxa" w:w="110"/>
              <w:left w:type="dxa" w:w="130"/>
              <w:bottom w:type="dxa" w:w="110"/>
              <w:right w:type="dxa" w:w="130"/>
            </w:tcMar>
          </w:tcPr>
          <w:p>
            <w:pPr>
              <w:spacing w:after="40"/>
            </w:pPr>
            <w:r>
              <w:rPr>
                <w:b w:val="false"/>
                <w:bCs w:val="false"/>
                <w:color w:val="2C3238"/>
                <w:sz w:val="19"/>
                <w:szCs w:val="19"/>
              </w:rPr>
              <w:t xml:space="preserve">Procurement, then legal, then security. Tracked as an onboarding pack with a visible position.</w:t>
            </w:r>
          </w:p>
        </w:tc>
      </w:tr>
      <w:tr>
        <w:tc>
          <w:tcPr>
            <w:tcW w:type="dxa" w:w="2900"/>
            <w:tcMar>
              <w:top w:type="dxa" w:w="110"/>
              <w:left w:type="dxa" w:w="130"/>
              <w:bottom w:type="dxa" w:w="110"/>
              <w:right w:type="dxa" w:w="130"/>
            </w:tcMar>
          </w:tcPr>
          <w:p>
            <w:pPr>
              <w:spacing w:after="40"/>
            </w:pPr>
            <w:r>
              <w:rPr>
                <w:b w:val="false"/>
                <w:bCs w:val="false"/>
                <w:color w:val="2C3238"/>
                <w:sz w:val="19"/>
                <w:szCs w:val="19"/>
              </w:rPr>
              <w:t xml:space="preserve">Named person inside break-in-service</w:t>
            </w:r>
          </w:p>
        </w:tc>
        <w:tc>
          <w:tcPr>
            <w:tcW w:type="dxa" w:w="6100"/>
            <w:tcMar>
              <w:top w:type="dxa" w:w="110"/>
              <w:left w:type="dxa" w:w="130"/>
              <w:bottom w:type="dxa" w:w="110"/>
              <w:right w:type="dxa" w:w="130"/>
            </w:tcMar>
          </w:tcPr>
          <w:p>
            <w:pPr>
              <w:spacing w:after="40"/>
            </w:pPr>
            <w:r>
              <w:rPr>
                <w:b w:val="false"/>
                <w:bCs w:val="false"/>
                <w:color w:val="2C3238"/>
                <w:sz w:val="19"/>
                <w:szCs w:val="19"/>
              </w:rPr>
              <w:t xml:space="preserve">Blocked. Eligibility date shown. No approval path — this is policy, not preference.</w:t>
            </w:r>
          </w:p>
        </w:tc>
      </w:tr>
      <w:tr>
        <w:tc>
          <w:tcPr>
            <w:tcW w:type="dxa" w:w="2900"/>
            <w:tcMar>
              <w:top w:type="dxa" w:w="110"/>
              <w:left w:type="dxa" w:w="130"/>
              <w:bottom w:type="dxa" w:w="110"/>
              <w:right w:type="dxa" w:w="130"/>
            </w:tcMar>
          </w:tcPr>
          <w:p>
            <w:pPr>
              <w:spacing w:after="40"/>
            </w:pPr>
            <w:r>
              <w:rPr>
                <w:b w:val="false"/>
                <w:bCs w:val="false"/>
                <w:color w:val="2C3238"/>
                <w:sz w:val="19"/>
                <w:szCs w:val="19"/>
              </w:rPr>
              <w:t xml:space="preserve">Annual value above threshold</w:t>
            </w:r>
          </w:p>
        </w:tc>
        <w:tc>
          <w:tcPr>
            <w:tcW w:type="dxa" w:w="6100"/>
            <w:tcMar>
              <w:top w:type="dxa" w:w="110"/>
              <w:left w:type="dxa" w:w="130"/>
              <w:bottom w:type="dxa" w:w="110"/>
              <w:right w:type="dxa" w:w="130"/>
            </w:tcMar>
          </w:tcPr>
          <w:p>
            <w:pPr>
              <w:spacing w:after="40"/>
            </w:pPr>
            <w:r>
              <w:rPr>
                <w:b w:val="false"/>
                <w:bCs w:val="false"/>
                <w:color w:val="2C3238"/>
                <w:sz w:val="19"/>
                <w:szCs w:val="19"/>
              </w:rPr>
              <w:t xml:space="preserve">Finance approval. Threshold configurable per client.</w:t>
            </w:r>
          </w:p>
        </w:tc>
      </w:tr>
    </w:tbl>
    <w:p>
      <w:pPr>
        <w:spacing w:after="200"/>
      </w:pPr>
      <w:r>
        <w:t xml:space="preserve"/>
      </w:r>
    </w:p>
    <w:p>
      <w:pPr>
        <w:spacing w:after="130" w:line="300"/>
      </w:pPr>
      <w:r>
        <w:rPr>
          <w:b w:val="false"/>
          <w:bCs w:val="false"/>
          <w:i w:val="false"/>
          <w:iCs w:val="false"/>
          <w:color w:val="2C3238"/>
          <w:sz w:val="20"/>
          <w:szCs w:val="20"/>
        </w:rPr>
        <w:t xml:space="preserve">Every cleared requisition records the basis on which it cleared. An auto-cleared requisition is not an unreviewed one — it is one where the review was executed by rule and recorded.</w:t>
      </w:r>
    </w:p>
    <w:p>
      <w:pPr>
        <w:spacing w:after="200"/>
      </w:pPr>
      <w:r>
        <w:t xml:space="preserve"/>
      </w:r>
    </w:p>
    <w:p>
      <w:pPr>
        <w:spacing w:after="160" w:before="400"/>
      </w:pPr>
      <w:r>
        <w:rPr>
          <w:b/>
          <w:bCs/>
          <w:color w:val="14181D"/>
          <w:sz w:val="26"/>
          <w:szCs w:val="26"/>
        </w:rPr>
        <w:t xml:space="preserve">E.5  RATE BANDS AND EXCEPTIONS</w:t>
      </w:r>
    </w:p>
    <w:p>
      <w:pPr>
        <w:spacing w:after="90" w:line="290"/>
        <w:ind w:left="360"/>
      </w:pPr>
      <w:r>
        <w:rPr>
          <w:color w:val="6B7280"/>
          <w:sz w:val="20"/>
          <w:szCs w:val="20"/>
        </w:rPr>
        <w:t xml:space="preserve">•   </w:t>
      </w:r>
      <w:r>
        <w:rPr>
          <w:color w:val="2C3238"/>
          <w:sz w:val="20"/>
          <w:szCs w:val="20"/>
        </w:rPr>
        <w:t xml:space="preserve">Rate bands defined by skill, region and seniority, owned by procurement, versioned with effective dates</w:t>
      </w:r>
    </w:p>
    <w:p>
      <w:pPr>
        <w:spacing w:after="90" w:line="290"/>
        <w:ind w:left="360"/>
      </w:pPr>
      <w:r>
        <w:rPr>
          <w:color w:val="6B7280"/>
          <w:sz w:val="20"/>
          <w:szCs w:val="20"/>
        </w:rPr>
        <w:t xml:space="preserve">•   </w:t>
      </w:r>
      <w:r>
        <w:rPr>
          <w:color w:val="2C3238"/>
          <w:sz w:val="20"/>
          <w:szCs w:val="20"/>
        </w:rPr>
        <w:t xml:space="preserve">Visible to hiring managers at the point of raising a requisition, not discovered at approval</w:t>
      </w:r>
    </w:p>
    <w:p>
      <w:pPr>
        <w:spacing w:after="90" w:line="290"/>
        <w:ind w:left="360"/>
      </w:pPr>
      <w:r>
        <w:rPr>
          <w:color w:val="6B7280"/>
          <w:sz w:val="20"/>
          <w:szCs w:val="20"/>
        </w:rPr>
        <w:t xml:space="preserve">•   </w:t>
      </w:r>
      <w:r>
        <w:rPr>
          <w:color w:val="2C3238"/>
          <w:sz w:val="20"/>
          <w:szCs w:val="20"/>
        </w:rPr>
        <w:t xml:space="preserve">Exceptions permitted with a captured reason, never silently</w:t>
      </w:r>
    </w:p>
    <w:p>
      <w:pPr>
        <w:spacing w:after="90" w:line="290"/>
        <w:ind w:left="360"/>
      </w:pPr>
      <w:r>
        <w:rPr>
          <w:color w:val="6B7280"/>
          <w:sz w:val="20"/>
          <w:szCs w:val="20"/>
        </w:rPr>
        <w:t xml:space="preserve">•   </w:t>
      </w:r>
      <w:r>
        <w:rPr>
          <w:color w:val="2C3238"/>
          <w:sz w:val="20"/>
          <w:szCs w:val="20"/>
        </w:rPr>
        <w:t xml:space="preserve">Exception reporting by manager, by vendor, by skill — the input to the next negotiation</w:t>
      </w:r>
    </w:p>
    <w:p>
      <w:pPr>
        <w:spacing w:after="90" w:line="290"/>
        <w:ind w:left="360"/>
      </w:pPr>
      <w:r>
        <w:rPr>
          <w:color w:val="6B7280"/>
          <w:sz w:val="20"/>
          <w:szCs w:val="20"/>
        </w:rPr>
        <w:t xml:space="preserve">•   </w:t>
      </w:r>
      <w:r>
        <w:rPr>
          <w:color w:val="2C3238"/>
          <w:sz w:val="20"/>
          <w:szCs w:val="20"/>
        </w:rPr>
        <w:t xml:space="preserve">Renewal prompts where an active rate sits above band, actioned at contract renewal rather than mid-term</w:t>
      </w:r>
    </w:p>
    <w:p>
      <w:pPr>
        <w:spacing w:after="200"/>
      </w:pPr>
      <w:r>
        <w:t xml:space="preserve"/>
      </w:r>
    </w:p>
    <w:p>
      <w:pPr>
        <w:spacing w:after="130" w:line="300"/>
      </w:pPr>
      <w:r>
        <w:rPr>
          <w:b w:val="false"/>
          <w:bCs w:val="false"/>
          <w:i w:val="false"/>
          <w:iCs w:val="false"/>
          <w:color w:val="2C3238"/>
          <w:sz w:val="20"/>
          <w:szCs w:val="20"/>
        </w:rPr>
        <w:t xml:space="preserve">The mid-market review found rate dispersion of $29 per hour on a single skill across three managers. None of them was acting improperly; none of them could see the others. Publishing the band at the point of demand removes most of that dispersion without a single approval step.</w:t>
      </w:r>
    </w:p>
    <w:p>
      <w:pPr>
        <w:spacing w:after="200"/>
      </w:pPr>
      <w:r>
        <w:t xml:space="preserve"/>
      </w:r>
    </w:p>
    <w:p>
      <w:pPr>
        <w:spacing w:after="160" w:before="400"/>
      </w:pPr>
      <w:r>
        <w:rPr>
          <w:b/>
          <w:bCs/>
          <w:color w:val="14181D"/>
          <w:sz w:val="26"/>
          <w:szCs w:val="26"/>
        </w:rPr>
        <w:t xml:space="preserve">E.6  AUDIT TRAIL AND SEGREGATION OF DUTIES</w:t>
      </w:r>
    </w:p>
    <w:p>
      <w:pPr>
        <w:spacing w:after="130" w:line="300"/>
      </w:pPr>
      <w:r>
        <w:rPr>
          <w:b w:val="false"/>
          <w:bCs w:val="false"/>
          <w:i w:val="false"/>
          <w:iCs w:val="false"/>
          <w:color w:val="2C3238"/>
          <w:sz w:val="20"/>
          <w:szCs w:val="20"/>
        </w:rPr>
        <w:t xml:space="preserve">Required for regulated clients irrespective of size. A medical device manufacturer carries quality system obligations that a software company of the same headcount does not.</w:t>
      </w:r>
    </w:p>
    <w:p>
      <w:pPr>
        <w:spacing w:after="200"/>
      </w:pPr>
      <w:r>
        <w:t xml:space="preserve"/>
      </w:r>
    </w:p>
    <w:p>
      <w:pPr>
        <w:spacing w:after="120" w:before="280"/>
      </w:pPr>
      <w:r>
        <w:rPr>
          <w:b/>
          <w:bCs/>
          <w:color w:val="14181D"/>
          <w:sz w:val="22"/>
          <w:szCs w:val="22"/>
        </w:rPr>
        <w:t xml:space="preserve">E.6.1  Immutable audit events</w:t>
      </w:r>
    </w:p>
    <w:p>
      <w:pPr>
        <w:spacing w:after="90" w:line="290"/>
        <w:ind w:left="360"/>
      </w:pPr>
      <w:r>
        <w:rPr>
          <w:color w:val="6B7280"/>
          <w:sz w:val="20"/>
          <w:szCs w:val="20"/>
        </w:rPr>
        <w:t xml:space="preserve">•   </w:t>
      </w:r>
      <w:r>
        <w:rPr>
          <w:color w:val="2C3238"/>
          <w:sz w:val="20"/>
          <w:szCs w:val="20"/>
        </w:rPr>
        <w:t xml:space="preserve">Actor, action, subject, timestamp, and the basis on which the action was permitted</w:t>
      </w:r>
    </w:p>
    <w:p>
      <w:pPr>
        <w:spacing w:after="90" w:line="290"/>
        <w:ind w:left="360"/>
      </w:pPr>
      <w:r>
        <w:rPr>
          <w:color w:val="6B7280"/>
          <w:sz w:val="20"/>
          <w:szCs w:val="20"/>
        </w:rPr>
        <w:t xml:space="preserve">•   </w:t>
      </w:r>
      <w:r>
        <w:rPr>
          <w:color w:val="2C3238"/>
          <w:sz w:val="20"/>
          <w:szCs w:val="20"/>
        </w:rPr>
        <w:t xml:space="preserve">Written for every approval, exception, policy override, access change and rate change</w:t>
      </w:r>
    </w:p>
    <w:p>
      <w:pPr>
        <w:spacing w:after="90" w:line="290"/>
        <w:ind w:left="360"/>
      </w:pPr>
      <w:r>
        <w:rPr>
          <w:color w:val="6B7280"/>
          <w:sz w:val="20"/>
          <w:szCs w:val="20"/>
        </w:rPr>
        <w:t xml:space="preserve">•   </w:t>
      </w:r>
      <w:r>
        <w:rPr>
          <w:color w:val="2C3238"/>
          <w:sz w:val="20"/>
          <w:szCs w:val="20"/>
        </w:rPr>
        <w:t xml:space="preserve">Retained per client policy; exportable in full for audit without engineering involvement</w:t>
      </w:r>
    </w:p>
    <w:p>
      <w:pPr>
        <w:spacing w:after="200"/>
      </w:pPr>
      <w:r>
        <w:t xml:space="preserve"/>
      </w:r>
    </w:p>
    <w:p>
      <w:pPr>
        <w:spacing w:after="120" w:before="280"/>
      </w:pPr>
      <w:r>
        <w:rPr>
          <w:b/>
          <w:bCs/>
          <w:color w:val="14181D"/>
          <w:sz w:val="22"/>
          <w:szCs w:val="22"/>
        </w:rPr>
        <w:t xml:space="preserve">E.6.2  Segregation of duties</w:t>
      </w:r>
    </w:p>
    <w:p>
      <w:pPr>
        <w:spacing w:after="90" w:line="290"/>
        <w:ind w:left="360"/>
      </w:pPr>
      <w:r>
        <w:rPr>
          <w:color w:val="6B7280"/>
          <w:sz w:val="20"/>
          <w:szCs w:val="20"/>
        </w:rPr>
        <w:t xml:space="preserve">•   </w:t>
      </w:r>
      <w:r>
        <w:rPr>
          <w:color w:val="2C3238"/>
          <w:sz w:val="20"/>
          <w:szCs w:val="20"/>
        </w:rPr>
        <w:t xml:space="preserve">Timesheet approver may not approve the resulting invoice</w:t>
      </w:r>
    </w:p>
    <w:p>
      <w:pPr>
        <w:spacing w:after="90" w:line="290"/>
        <w:ind w:left="360"/>
      </w:pPr>
      <w:r>
        <w:rPr>
          <w:color w:val="6B7280"/>
          <w:sz w:val="20"/>
          <w:szCs w:val="20"/>
        </w:rPr>
        <w:t xml:space="preserve">•   </w:t>
      </w:r>
      <w:r>
        <w:rPr>
          <w:color w:val="2C3238"/>
          <w:sz w:val="20"/>
          <w:szCs w:val="20"/>
        </w:rPr>
        <w:t xml:space="preserve">Vendor onboarder may not approve that vendor's first placement</w:t>
      </w:r>
    </w:p>
    <w:p>
      <w:pPr>
        <w:spacing w:after="90" w:line="290"/>
        <w:ind w:left="360"/>
      </w:pPr>
      <w:r>
        <w:rPr>
          <w:color w:val="6B7280"/>
          <w:sz w:val="20"/>
          <w:szCs w:val="20"/>
        </w:rPr>
        <w:t xml:space="preserve">•   </w:t>
      </w:r>
      <w:r>
        <w:rPr>
          <w:color w:val="2C3238"/>
          <w:sz w:val="20"/>
          <w:szCs w:val="20"/>
        </w:rPr>
        <w:t xml:space="preserve">Rate band owner may not approve their own exception</w:t>
      </w:r>
    </w:p>
    <w:p>
      <w:pPr>
        <w:spacing w:after="90" w:line="290"/>
        <w:ind w:left="360"/>
      </w:pPr>
      <w:r>
        <w:rPr>
          <w:color w:val="6B7280"/>
          <w:sz w:val="20"/>
          <w:szCs w:val="20"/>
        </w:rPr>
        <w:t xml:space="preserve">•   </w:t>
      </w:r>
      <w:r>
        <w:rPr>
          <w:color w:val="2C3238"/>
          <w:sz w:val="20"/>
          <w:szCs w:val="20"/>
        </w:rPr>
        <w:t xml:space="preserve">Violations are blocked at the point of action and reported, not detected in a later reconciliation</w:t>
      </w:r>
    </w:p>
    <w:p>
      <w:pPr>
        <w:spacing w:after="200"/>
      </w:pPr>
      <w:r>
        <w:t xml:space="preserve"/>
      </w:r>
    </w:p>
    <w:p>
      <w:pPr>
        <w:spacing w:after="160" w:before="400"/>
      </w:pPr>
      <w:r>
        <w:rPr>
          <w:b/>
          <w:bCs/>
          <w:color w:val="14181D"/>
          <w:sz w:val="26"/>
          <w:szCs w:val="26"/>
        </w:rPr>
        <w:t xml:space="preserve">E.7  SUPPLIER GOVERNANCE</w:t>
      </w:r>
    </w:p>
    <w:tbl>
      <w:tblPr>
        <w:tblW w:type="dxa" w:w="9000"/>
        <w:tblBorders>
          <w:top w:val="single" w:color="D8D5CE" w:sz="2"/>
          <w:left w:val="single" w:color="D8D5CE" w:sz="2"/>
          <w:bottom w:val="single" w:color="D8D5CE" w:sz="2"/>
          <w:right w:val="single" w:color="D8D5CE" w:sz="2"/>
          <w:insideH w:val="single" w:color="D8D5CE" w:sz="2"/>
          <w:insideV w:val="single" w:color="D8D5CE" w:sz="2"/>
        </w:tblBorders>
      </w:tblPr>
      <w:tblGrid>
        <w:gridCol w:w="2100"/>
        <w:gridCol w:w="6900"/>
      </w:tblGrid>
      <w:tr>
        <w:trPr>
          <w:tblHeader/>
        </w:trPr>
        <w:tc>
          <w:tcPr>
            <w:tcW w:type="dxa" w:w="2100"/>
            <w:shd w:fill="F0EEE9" w:val="clear"/>
            <w:tcMar>
              <w:top w:type="dxa" w:w="110"/>
              <w:left w:type="dxa" w:w="130"/>
              <w:bottom w:type="dxa" w:w="110"/>
              <w:right w:type="dxa" w:w="130"/>
            </w:tcMar>
          </w:tcPr>
          <w:p>
            <w:pPr>
              <w:spacing w:after="40"/>
            </w:pPr>
            <w:r>
              <w:rPr>
                <w:b/>
                <w:bCs/>
                <w:color w:val="14181D"/>
                <w:sz w:val="18"/>
                <w:szCs w:val="18"/>
              </w:rPr>
              <w:t xml:space="preserve">Control</w:t>
            </w:r>
          </w:p>
        </w:tc>
        <w:tc>
          <w:tcPr>
            <w:tcW w:type="dxa" w:w="6900"/>
            <w:shd w:fill="F0EEE9" w:val="clear"/>
            <w:tcMar>
              <w:top w:type="dxa" w:w="110"/>
              <w:left w:type="dxa" w:w="130"/>
              <w:bottom w:type="dxa" w:w="110"/>
              <w:right w:type="dxa" w:w="130"/>
            </w:tcMar>
          </w:tcPr>
          <w:p>
            <w:pPr>
              <w:spacing w:after="40"/>
            </w:pPr>
            <w:r>
              <w:rPr>
                <w:b/>
                <w:bCs/>
                <w:color w:val="14181D"/>
                <w:sz w:val="18"/>
                <w:szCs w:val="18"/>
              </w:rPr>
              <w:t xml:space="preserve">Specification</w:t>
            </w:r>
          </w:p>
        </w:tc>
      </w:tr>
      <w:tr>
        <w:tc>
          <w:tcPr>
            <w:tcW w:type="dxa" w:w="2100"/>
            <w:tcMar>
              <w:top w:type="dxa" w:w="110"/>
              <w:left w:type="dxa" w:w="130"/>
              <w:bottom w:type="dxa" w:w="110"/>
              <w:right w:type="dxa" w:w="130"/>
            </w:tcMar>
          </w:tcPr>
          <w:p>
            <w:pPr>
              <w:spacing w:after="40"/>
            </w:pPr>
            <w:r>
              <w:rPr>
                <w:b w:val="false"/>
                <w:bCs w:val="false"/>
                <w:color w:val="2C3238"/>
                <w:sz w:val="19"/>
                <w:szCs w:val="19"/>
              </w:rPr>
              <w:t xml:space="preserve">Vendor tiering</w:t>
            </w:r>
          </w:p>
        </w:tc>
        <w:tc>
          <w:tcPr>
            <w:tcW w:type="dxa" w:w="6900"/>
            <w:tcMar>
              <w:top w:type="dxa" w:w="110"/>
              <w:left w:type="dxa" w:w="130"/>
              <w:bottom w:type="dxa" w:w="110"/>
              <w:right w:type="dxa" w:w="130"/>
            </w:tcMar>
          </w:tcPr>
          <w:p>
            <w:pPr>
              <w:spacing w:after="40"/>
            </w:pPr>
            <w:r>
              <w:rPr>
                <w:b w:val="false"/>
                <w:bCs w:val="false"/>
                <w:color w:val="2C3238"/>
                <w:sz w:val="19"/>
                <w:szCs w:val="19"/>
              </w:rPr>
              <w:t xml:space="preserve">Preferred, occasional, one-time. Tier assigned from placement volume and scorecard, with policy consequences attached to each tier.</w:t>
            </w:r>
          </w:p>
        </w:tc>
      </w:tr>
      <w:tr>
        <w:tc>
          <w:tcPr>
            <w:tcW w:type="dxa" w:w="2100"/>
            <w:tcMar>
              <w:top w:type="dxa" w:w="110"/>
              <w:left w:type="dxa" w:w="130"/>
              <w:bottom w:type="dxa" w:w="110"/>
              <w:right w:type="dxa" w:w="130"/>
            </w:tcMar>
          </w:tcPr>
          <w:p>
            <w:pPr>
              <w:spacing w:after="40"/>
            </w:pPr>
            <w:r>
              <w:rPr>
                <w:b w:val="false"/>
                <w:bCs w:val="false"/>
                <w:color w:val="2C3238"/>
                <w:sz w:val="19"/>
                <w:szCs w:val="19"/>
              </w:rPr>
              <w:t xml:space="preserve">Compliance certificates</w:t>
            </w:r>
          </w:p>
        </w:tc>
        <w:tc>
          <w:tcPr>
            <w:tcW w:type="dxa" w:w="6900"/>
            <w:tcMar>
              <w:top w:type="dxa" w:w="110"/>
              <w:left w:type="dxa" w:w="130"/>
              <w:bottom w:type="dxa" w:w="110"/>
              <w:right w:type="dxa" w:w="130"/>
            </w:tcMar>
          </w:tcPr>
          <w:p>
            <w:pPr>
              <w:spacing w:after="40"/>
            </w:pPr>
            <w:r>
              <w:rPr>
                <w:b w:val="false"/>
                <w:bCs w:val="false"/>
                <w:color w:val="2C3238"/>
                <w:sz w:val="19"/>
                <w:szCs w:val="19"/>
              </w:rPr>
              <w:t xml:space="preserve">Insurance, W-9, background check attestation, security review. Expiry tracked with advance alerts. Lapse suspends new placements, not existing ones.</w:t>
            </w:r>
          </w:p>
        </w:tc>
      </w:tr>
      <w:tr>
        <w:tc>
          <w:tcPr>
            <w:tcW w:type="dxa" w:w="2100"/>
            <w:tcMar>
              <w:top w:type="dxa" w:w="110"/>
              <w:left w:type="dxa" w:w="130"/>
              <w:bottom w:type="dxa" w:w="110"/>
              <w:right w:type="dxa" w:w="130"/>
            </w:tcMar>
          </w:tcPr>
          <w:p>
            <w:pPr>
              <w:spacing w:after="40"/>
            </w:pPr>
            <w:r>
              <w:rPr>
                <w:b w:val="false"/>
                <w:bCs w:val="false"/>
                <w:color w:val="2C3238"/>
                <w:sz w:val="19"/>
                <w:szCs w:val="19"/>
              </w:rPr>
              <w:t xml:space="preserve">Performance scorecards</w:t>
            </w:r>
          </w:p>
        </w:tc>
        <w:tc>
          <w:tcPr>
            <w:tcW w:type="dxa" w:w="6900"/>
            <w:tcMar>
              <w:top w:type="dxa" w:w="110"/>
              <w:left w:type="dxa" w:w="130"/>
              <w:bottom w:type="dxa" w:w="110"/>
              <w:right w:type="dxa" w:w="130"/>
            </w:tcMar>
          </w:tcPr>
          <w:p>
            <w:pPr>
              <w:spacing w:after="40"/>
            </w:pPr>
            <w:r>
              <w:rPr>
                <w:b w:val="false"/>
                <w:bCs w:val="false"/>
                <w:color w:val="2C3238"/>
                <w:sz w:val="19"/>
                <w:szCs w:val="19"/>
              </w:rPr>
              <w:t xml:space="preserve">Fill rate, time to submit, median tenure of placements, exception frequency. Feeds tier assignment on a defined cycle.</w:t>
            </w:r>
          </w:p>
        </w:tc>
      </w:tr>
      <w:tr>
        <w:tc>
          <w:tcPr>
            <w:tcW w:type="dxa" w:w="2100"/>
            <w:tcMar>
              <w:top w:type="dxa" w:w="110"/>
              <w:left w:type="dxa" w:w="130"/>
              <w:bottom w:type="dxa" w:w="110"/>
              <w:right w:type="dxa" w:w="130"/>
            </w:tcMar>
          </w:tcPr>
          <w:p>
            <w:pPr>
              <w:spacing w:after="40"/>
            </w:pPr>
            <w:r>
              <w:rPr>
                <w:b w:val="false"/>
                <w:bCs w:val="false"/>
                <w:color w:val="2C3238"/>
                <w:sz w:val="19"/>
                <w:szCs w:val="19"/>
              </w:rPr>
              <w:t xml:space="preserve">Onboarding cost visibility</w:t>
            </w:r>
          </w:p>
        </w:tc>
        <w:tc>
          <w:tcPr>
            <w:tcW w:type="dxa" w:w="6900"/>
            <w:tcMar>
              <w:top w:type="dxa" w:w="110"/>
              <w:left w:type="dxa" w:w="130"/>
              <w:bottom w:type="dxa" w:w="110"/>
              <w:right w:type="dxa" w:w="130"/>
            </w:tcMar>
          </w:tcPr>
          <w:p>
            <w:pPr>
              <w:spacing w:after="40"/>
            </w:pPr>
            <w:r>
              <w:rPr>
                <w:b w:val="false"/>
                <w:bCs w:val="false"/>
                <w:color w:val="2C3238"/>
                <w:sz w:val="19"/>
                <w:szCs w:val="19"/>
              </w:rPr>
              <w:t xml:space="preserve">Full cost of adding a supplier surfaced at the point a one-time vendor is proposed: legal, security, insurance verification, AP setup.</w:t>
            </w:r>
          </w:p>
        </w:tc>
      </w:tr>
      <w:tr>
        <w:tc>
          <w:tcPr>
            <w:tcW w:type="dxa" w:w="2100"/>
            <w:tcMar>
              <w:top w:type="dxa" w:w="110"/>
              <w:left w:type="dxa" w:w="130"/>
              <w:bottom w:type="dxa" w:w="110"/>
              <w:right w:type="dxa" w:w="130"/>
            </w:tcMar>
          </w:tcPr>
          <w:p>
            <w:pPr>
              <w:spacing w:after="40"/>
            </w:pPr>
            <w:r>
              <w:rPr>
                <w:b w:val="false"/>
                <w:bCs w:val="false"/>
                <w:color w:val="2C3238"/>
                <w:sz w:val="19"/>
                <w:szCs w:val="19"/>
              </w:rPr>
              <w:t xml:space="preserve">Supplier diversity</w:t>
            </w:r>
          </w:p>
        </w:tc>
        <w:tc>
          <w:tcPr>
            <w:tcW w:type="dxa" w:w="6900"/>
            <w:tcMar>
              <w:top w:type="dxa" w:w="110"/>
              <w:left w:type="dxa" w:w="130"/>
              <w:bottom w:type="dxa" w:w="110"/>
              <w:right w:type="dxa" w:w="130"/>
            </w:tcMar>
          </w:tcPr>
          <w:p>
            <w:pPr>
              <w:spacing w:after="40"/>
            </w:pPr>
            <w:r>
              <w:rPr>
                <w:b w:val="false"/>
                <w:bCs w:val="false"/>
                <w:color w:val="2C3238"/>
                <w:sz w:val="19"/>
                <w:szCs w:val="19"/>
              </w:rPr>
              <w:t xml:space="preserve">Diverse supplier classification recorded and reported against target where the client operates one. Required for clients holding federal contracts with subcontracting plans.</w:t>
            </w:r>
          </w:p>
        </w:tc>
      </w:tr>
    </w:tbl>
    <w:p>
      <w:pPr>
        <w:spacing w:after="200"/>
      </w:pPr>
      <w:r>
        <w:t xml:space="preserve"/>
      </w:r>
    </w:p>
    <w:p>
      <w:pPr>
        <w:spacing w:after="160" w:before="400"/>
      </w:pPr>
      <w:r>
        <w:rPr>
          <w:b/>
          <w:bCs/>
          <w:color w:val="14181D"/>
          <w:sz w:val="26"/>
          <w:szCs w:val="26"/>
        </w:rPr>
        <w:t xml:space="preserve">E.8  DATA MODEL EXTENSIONS</w:t>
      </w:r>
    </w:p>
    <w:p>
      <w:pPr>
        <w:spacing w:after="130" w:line="300"/>
      </w:pPr>
      <w:r>
        <w:rPr>
          <w:b w:val="false"/>
          <w:bCs w:val="false"/>
          <w:i w:val="false"/>
          <w:iCs w:val="false"/>
          <w:color w:val="2C3238"/>
          <w:sz w:val="20"/>
          <w:szCs w:val="20"/>
        </w:rPr>
        <w:t xml:space="preserve">Additive. No baseline entity is altered.</w:t>
      </w:r>
    </w:p>
    <w:p>
      <w:pPr>
        <w:spacing w:after="200"/>
      </w:pPr>
      <w:r>
        <w:t xml:space="preserve"/>
      </w:r>
    </w:p>
    <w:tbl>
      <w:tblPr>
        <w:tblW w:type="dxa" w:w="9000"/>
        <w:tblBorders>
          <w:top w:val="single" w:color="D8D5CE" w:sz="2"/>
          <w:left w:val="single" w:color="D8D5CE" w:sz="2"/>
          <w:bottom w:val="single" w:color="D8D5CE" w:sz="2"/>
          <w:right w:val="single" w:color="D8D5CE" w:sz="2"/>
          <w:insideH w:val="single" w:color="D8D5CE" w:sz="2"/>
          <w:insideV w:val="single" w:color="D8D5CE" w:sz="2"/>
        </w:tblBorders>
      </w:tblPr>
      <w:tblGrid>
        <w:gridCol w:w="2200"/>
        <w:gridCol w:w="6800"/>
      </w:tblGrid>
      <w:tr>
        <w:trPr>
          <w:tblHeader/>
        </w:trPr>
        <w:tc>
          <w:tcPr>
            <w:tcW w:type="dxa" w:w="2200"/>
            <w:shd w:fill="F0EEE9" w:val="clear"/>
            <w:tcMar>
              <w:top w:type="dxa" w:w="110"/>
              <w:left w:type="dxa" w:w="130"/>
              <w:bottom w:type="dxa" w:w="110"/>
              <w:right w:type="dxa" w:w="130"/>
            </w:tcMar>
          </w:tcPr>
          <w:p>
            <w:pPr>
              <w:spacing w:after="40"/>
            </w:pPr>
            <w:r>
              <w:rPr>
                <w:b/>
                <w:bCs/>
                <w:color w:val="14181D"/>
                <w:sz w:val="18"/>
                <w:szCs w:val="18"/>
              </w:rPr>
              <w:t xml:space="preserve">Entity</w:t>
            </w:r>
          </w:p>
        </w:tc>
        <w:tc>
          <w:tcPr>
            <w:tcW w:type="dxa" w:w="6800"/>
            <w:shd w:fill="F0EEE9" w:val="clear"/>
            <w:tcMar>
              <w:top w:type="dxa" w:w="110"/>
              <w:left w:type="dxa" w:w="130"/>
              <w:bottom w:type="dxa" w:w="110"/>
              <w:right w:type="dxa" w:w="130"/>
            </w:tcMar>
          </w:tcPr>
          <w:p>
            <w:pPr>
              <w:spacing w:after="40"/>
            </w:pPr>
            <w:r>
              <w:rPr>
                <w:b/>
                <w:bCs/>
                <w:color w:val="14181D"/>
                <w:sz w:val="18"/>
                <w:szCs w:val="18"/>
              </w:rPr>
              <w:t xml:space="preserve">Definition</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TenureLedger (new)</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person_id</w:t>
            </w:r>
          </w:p>
          <w:p>
            <w:pPr>
              <w:spacing w:after="40"/>
            </w:pPr>
            <w:r>
              <w:rPr>
                <w:b w:val="false"/>
                <w:bCs w:val="false"/>
                <w:color w:val="2C3238"/>
                <w:sz w:val="19"/>
                <w:szCs w:val="19"/>
              </w:rPr>
              <w:t xml:space="preserve">client_id</w:t>
            </w:r>
          </w:p>
          <w:p>
            <w:pPr>
              <w:spacing w:after="40"/>
            </w:pPr>
            <w:r>
              <w:rPr>
                <w:b w:val="false"/>
                <w:bCs w:val="false"/>
                <w:color w:val="2C3238"/>
                <w:sz w:val="19"/>
                <w:szCs w:val="19"/>
              </w:rPr>
              <w:t xml:space="preserve">cumulative_days</w:t>
            </w:r>
          </w:p>
          <w:p>
            <w:pPr>
              <w:spacing w:after="40"/>
            </w:pPr>
            <w:r>
              <w:rPr>
                <w:b w:val="false"/>
                <w:bCs w:val="false"/>
                <w:color w:val="2C3238"/>
                <w:sz w:val="19"/>
                <w:szCs w:val="19"/>
              </w:rPr>
              <w:t xml:space="preserve">contributing_assignment_ids</w:t>
            </w:r>
          </w:p>
          <w:p>
            <w:pPr>
              <w:spacing w:after="40"/>
            </w:pPr>
            <w:r>
              <w:rPr>
                <w:b w:val="false"/>
                <w:bCs w:val="false"/>
                <w:color w:val="2C3238"/>
                <w:sz w:val="19"/>
                <w:szCs w:val="19"/>
              </w:rPr>
              <w:t xml:space="preserve">break_started_at</w:t>
            </w:r>
          </w:p>
          <w:p>
            <w:pPr>
              <w:spacing w:after="40"/>
            </w:pPr>
            <w:r>
              <w:rPr>
                <w:b w:val="false"/>
                <w:bCs w:val="false"/>
                <w:color w:val="2C3238"/>
                <w:sz w:val="19"/>
                <w:szCs w:val="19"/>
              </w:rPr>
              <w:t xml:space="preserve">eligible_from</w:t>
            </w:r>
          </w:p>
          <w:p>
            <w:pPr>
              <w:spacing w:after="40"/>
            </w:pPr>
            <w:r>
              <w:rPr>
                <w:b w:val="false"/>
                <w:bCs w:val="false"/>
                <w:color w:val="2C3238"/>
                <w:sz w:val="19"/>
                <w:szCs w:val="19"/>
              </w:rPr>
              <w:t xml:space="preserve">policy_id</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Policy (new)</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client_id</w:t>
            </w:r>
          </w:p>
          <w:p>
            <w:pPr>
              <w:spacing w:after="40"/>
            </w:pPr>
            <w:r>
              <w:rPr>
                <w:b w:val="false"/>
                <w:bCs w:val="false"/>
                <w:color w:val="2C3238"/>
                <w:sz w:val="19"/>
                <w:szCs w:val="19"/>
              </w:rPr>
              <w:t xml:space="preserve">type: tenure, rate_band, approval_threshold, sod_rule</w:t>
            </w:r>
          </w:p>
          <w:p>
            <w:pPr>
              <w:spacing w:after="40"/>
            </w:pPr>
            <w:r>
              <w:rPr>
                <w:b w:val="false"/>
                <w:bCs w:val="false"/>
                <w:color w:val="2C3238"/>
                <w:sz w:val="19"/>
                <w:szCs w:val="19"/>
              </w:rPr>
              <w:t xml:space="preserve">params</w:t>
            </w:r>
          </w:p>
          <w:p>
            <w:pPr>
              <w:spacing w:after="40"/>
            </w:pPr>
            <w:r>
              <w:rPr>
                <w:b w:val="false"/>
                <w:bCs w:val="false"/>
                <w:color w:val="2C3238"/>
                <w:sz w:val="19"/>
                <w:szCs w:val="19"/>
              </w:rPr>
              <w:t xml:space="preserve">effective_from</w:t>
            </w:r>
          </w:p>
          <w:p>
            <w:pPr>
              <w:spacing w:after="40"/>
            </w:pPr>
            <w:r>
              <w:rPr>
                <w:b w:val="false"/>
                <w:bCs w:val="false"/>
                <w:color w:val="2C3238"/>
                <w:sz w:val="19"/>
                <w:szCs w:val="19"/>
              </w:rPr>
              <w:t xml:space="preserve">version</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ApprovalChain (new)</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trigger_condition</w:t>
            </w:r>
          </w:p>
          <w:p>
            <w:pPr>
              <w:spacing w:after="40"/>
            </w:pPr>
            <w:r>
              <w:rPr>
                <w:b w:val="false"/>
                <w:bCs w:val="false"/>
                <w:color w:val="2C3238"/>
                <w:sz w:val="19"/>
                <w:szCs w:val="19"/>
              </w:rPr>
              <w:t xml:space="preserve">ordered steps</w:t>
            </w:r>
          </w:p>
          <w:p>
            <w:pPr>
              <w:spacing w:after="40"/>
            </w:pPr>
            <w:r>
              <w:rPr>
                <w:b w:val="false"/>
                <w:bCs w:val="false"/>
                <w:color w:val="2C3238"/>
                <w:sz w:val="19"/>
                <w:szCs w:val="19"/>
              </w:rPr>
              <w:t xml:space="preserve">role_required per step</w:t>
            </w:r>
          </w:p>
          <w:p>
            <w:pPr>
              <w:spacing w:after="40"/>
            </w:pPr>
            <w:r>
              <w:rPr>
                <w:b w:val="false"/>
                <w:bCs w:val="false"/>
                <w:color w:val="2C3238"/>
                <w:sz w:val="19"/>
                <w:szCs w:val="19"/>
              </w:rPr>
              <w:t xml:space="preserve">sla_hours</w:t>
            </w:r>
          </w:p>
          <w:p>
            <w:pPr>
              <w:spacing w:after="40"/>
            </w:pPr>
            <w:r>
              <w:rPr>
                <w:b w:val="false"/>
                <w:bCs w:val="false"/>
                <w:color w:val="2C3238"/>
                <w:sz w:val="19"/>
                <w:szCs w:val="19"/>
              </w:rPr>
              <w:t xml:space="preserve">escalation_target</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RateBand (new)</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client_id</w:t>
            </w:r>
          </w:p>
          <w:p>
            <w:pPr>
              <w:spacing w:after="40"/>
            </w:pPr>
            <w:r>
              <w:rPr>
                <w:b w:val="false"/>
                <w:bCs w:val="false"/>
                <w:color w:val="2C3238"/>
                <w:sz w:val="19"/>
                <w:szCs w:val="19"/>
              </w:rPr>
              <w:t xml:space="preserve">skill</w:t>
            </w:r>
          </w:p>
          <w:p>
            <w:pPr>
              <w:spacing w:after="40"/>
            </w:pPr>
            <w:r>
              <w:rPr>
                <w:b w:val="false"/>
                <w:bCs w:val="false"/>
                <w:color w:val="2C3238"/>
                <w:sz w:val="19"/>
                <w:szCs w:val="19"/>
              </w:rPr>
              <w:t xml:space="preserve">region</w:t>
            </w:r>
          </w:p>
          <w:p>
            <w:pPr>
              <w:spacing w:after="40"/>
            </w:pPr>
            <w:r>
              <w:rPr>
                <w:b w:val="false"/>
                <w:bCs w:val="false"/>
                <w:color w:val="2C3238"/>
                <w:sz w:val="19"/>
                <w:szCs w:val="19"/>
              </w:rPr>
              <w:t xml:space="preserve">level</w:t>
            </w:r>
          </w:p>
          <w:p>
            <w:pPr>
              <w:spacing w:after="40"/>
            </w:pPr>
            <w:r>
              <w:rPr>
                <w:b w:val="false"/>
                <w:bCs w:val="false"/>
                <w:color w:val="2C3238"/>
                <w:sz w:val="19"/>
                <w:szCs w:val="19"/>
              </w:rPr>
              <w:t xml:space="preserve">min</w:t>
            </w:r>
          </w:p>
          <w:p>
            <w:pPr>
              <w:spacing w:after="40"/>
            </w:pPr>
            <w:r>
              <w:rPr>
                <w:b w:val="false"/>
                <w:bCs w:val="false"/>
                <w:color w:val="2C3238"/>
                <w:sz w:val="19"/>
                <w:szCs w:val="19"/>
              </w:rPr>
              <w:t xml:space="preserve">max</w:t>
            </w:r>
          </w:p>
          <w:p>
            <w:pPr>
              <w:spacing w:after="40"/>
            </w:pPr>
            <w:r>
              <w:rPr>
                <w:b w:val="false"/>
                <w:bCs w:val="false"/>
                <w:color w:val="2C3238"/>
                <w:sz w:val="19"/>
                <w:szCs w:val="19"/>
              </w:rPr>
              <w:t xml:space="preserve">effective_from</w:t>
            </w:r>
          </w:p>
          <w:p>
            <w:pPr>
              <w:spacing w:after="40"/>
            </w:pPr>
            <w:r>
              <w:rPr>
                <w:b w:val="false"/>
                <w:bCs w:val="false"/>
                <w:color w:val="2C3238"/>
                <w:sz w:val="19"/>
                <w:szCs w:val="19"/>
              </w:rPr>
              <w:t xml:space="preserve">owner_id</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Exception (new)</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type</w:t>
            </w:r>
          </w:p>
          <w:p>
            <w:pPr>
              <w:spacing w:after="40"/>
            </w:pPr>
            <w:r>
              <w:rPr>
                <w:b w:val="false"/>
                <w:bCs w:val="false"/>
                <w:color w:val="2C3238"/>
                <w:sz w:val="19"/>
                <w:szCs w:val="19"/>
              </w:rPr>
              <w:t xml:space="preserve">subject_id</w:t>
            </w:r>
          </w:p>
          <w:p>
            <w:pPr>
              <w:spacing w:after="40"/>
            </w:pPr>
            <w:r>
              <w:rPr>
                <w:b w:val="false"/>
                <w:bCs w:val="false"/>
                <w:color w:val="2C3238"/>
                <w:sz w:val="19"/>
                <w:szCs w:val="19"/>
              </w:rPr>
              <w:t xml:space="preserve">reason</w:t>
            </w:r>
          </w:p>
          <w:p>
            <w:pPr>
              <w:spacing w:after="40"/>
            </w:pPr>
            <w:r>
              <w:rPr>
                <w:b w:val="false"/>
                <w:bCs w:val="false"/>
                <w:color w:val="2C3238"/>
                <w:sz w:val="19"/>
                <w:szCs w:val="19"/>
              </w:rPr>
              <w:t xml:space="preserve">requested_by</w:t>
            </w:r>
          </w:p>
          <w:p>
            <w:pPr>
              <w:spacing w:after="40"/>
            </w:pPr>
            <w:r>
              <w:rPr>
                <w:b w:val="false"/>
                <w:bCs w:val="false"/>
                <w:color w:val="2C3238"/>
                <w:sz w:val="19"/>
                <w:szCs w:val="19"/>
              </w:rPr>
              <w:t xml:space="preserve">approved_by</w:t>
            </w:r>
          </w:p>
          <w:p>
            <w:pPr>
              <w:spacing w:after="40"/>
            </w:pPr>
            <w:r>
              <w:rPr>
                <w:b w:val="false"/>
                <w:bCs w:val="false"/>
                <w:color w:val="2C3238"/>
                <w:sz w:val="19"/>
                <w:szCs w:val="19"/>
              </w:rPr>
              <w:t xml:space="preserve">approved_at</w:t>
            </w:r>
          </w:p>
          <w:p>
            <w:pPr>
              <w:spacing w:after="40"/>
            </w:pPr>
            <w:r>
              <w:rPr>
                <w:b w:val="false"/>
                <w:bCs w:val="false"/>
                <w:color w:val="2C3238"/>
                <w:sz w:val="19"/>
                <w:szCs w:val="19"/>
              </w:rPr>
              <w:t xml:space="preserve">policy_id</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AuditEvent (new)</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actor_id</w:t>
            </w:r>
          </w:p>
          <w:p>
            <w:pPr>
              <w:spacing w:after="40"/>
            </w:pPr>
            <w:r>
              <w:rPr>
                <w:b w:val="false"/>
                <w:bCs w:val="false"/>
                <w:color w:val="2C3238"/>
                <w:sz w:val="19"/>
                <w:szCs w:val="19"/>
              </w:rPr>
              <w:t xml:space="preserve">action</w:t>
            </w:r>
          </w:p>
          <w:p>
            <w:pPr>
              <w:spacing w:after="40"/>
            </w:pPr>
            <w:r>
              <w:rPr>
                <w:b w:val="false"/>
                <w:bCs w:val="false"/>
                <w:color w:val="2C3238"/>
                <w:sz w:val="19"/>
                <w:szCs w:val="19"/>
              </w:rPr>
              <w:t xml:space="preserve">subject_type</w:t>
            </w:r>
          </w:p>
          <w:p>
            <w:pPr>
              <w:spacing w:after="40"/>
            </w:pPr>
            <w:r>
              <w:rPr>
                <w:b w:val="false"/>
                <w:bCs w:val="false"/>
                <w:color w:val="2C3238"/>
                <w:sz w:val="19"/>
                <w:szCs w:val="19"/>
              </w:rPr>
              <w:t xml:space="preserve">subject_id</w:t>
            </w:r>
          </w:p>
          <w:p>
            <w:pPr>
              <w:spacing w:after="40"/>
            </w:pPr>
            <w:r>
              <w:rPr>
                <w:b w:val="false"/>
                <w:bCs w:val="false"/>
                <w:color w:val="2C3238"/>
                <w:sz w:val="19"/>
                <w:szCs w:val="19"/>
              </w:rPr>
              <w:t xml:space="preserve">basis</w:t>
            </w:r>
          </w:p>
          <w:p>
            <w:pPr>
              <w:spacing w:after="40"/>
            </w:pPr>
            <w:r>
              <w:rPr>
                <w:b w:val="false"/>
                <w:bCs w:val="false"/>
                <w:color w:val="2C3238"/>
                <w:sz w:val="19"/>
                <w:szCs w:val="19"/>
              </w:rPr>
              <w:t xml:space="preserve">at</w:t>
            </w:r>
          </w:p>
          <w:p>
            <w:pPr>
              <w:spacing w:after="40"/>
            </w:pPr>
            <w:r>
              <w:rPr>
                <w:b w:val="false"/>
                <w:bCs w:val="false"/>
                <w:color w:val="2C3238"/>
                <w:sz w:val="19"/>
                <w:szCs w:val="19"/>
              </w:rPr>
              <w:t xml:space="preserve">immutable</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SupplierCompliance (new)</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vendor_id</w:t>
            </w:r>
          </w:p>
          <w:p>
            <w:pPr>
              <w:spacing w:after="40"/>
            </w:pPr>
            <w:r>
              <w:rPr>
                <w:b w:val="false"/>
                <w:bCs w:val="false"/>
                <w:color w:val="2C3238"/>
                <w:sz w:val="19"/>
                <w:szCs w:val="19"/>
              </w:rPr>
              <w:t xml:space="preserve">client_id</w:t>
            </w:r>
          </w:p>
          <w:p>
            <w:pPr>
              <w:spacing w:after="40"/>
            </w:pPr>
            <w:r>
              <w:rPr>
                <w:b w:val="false"/>
                <w:bCs w:val="false"/>
                <w:color w:val="2C3238"/>
                <w:sz w:val="19"/>
                <w:szCs w:val="19"/>
              </w:rPr>
              <w:t xml:space="preserve">cert_type</w:t>
            </w:r>
          </w:p>
          <w:p>
            <w:pPr>
              <w:spacing w:after="40"/>
            </w:pPr>
            <w:r>
              <w:rPr>
                <w:b w:val="false"/>
                <w:bCs w:val="false"/>
                <w:color w:val="2C3238"/>
                <w:sz w:val="19"/>
                <w:szCs w:val="19"/>
              </w:rPr>
              <w:t xml:space="preserve">status</w:t>
            </w:r>
          </w:p>
          <w:p>
            <w:pPr>
              <w:spacing w:after="40"/>
            </w:pPr>
            <w:r>
              <w:rPr>
                <w:b w:val="false"/>
                <w:bCs w:val="false"/>
                <w:color w:val="2C3238"/>
                <w:sz w:val="19"/>
                <w:szCs w:val="19"/>
              </w:rPr>
              <w:t xml:space="preserve">issued_at</w:t>
            </w:r>
          </w:p>
          <w:p>
            <w:pPr>
              <w:spacing w:after="40"/>
            </w:pPr>
            <w:r>
              <w:rPr>
                <w:b w:val="false"/>
                <w:bCs w:val="false"/>
                <w:color w:val="2C3238"/>
                <w:sz w:val="19"/>
                <w:szCs w:val="19"/>
              </w:rPr>
              <w:t xml:space="preserve">expires_at</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Requirement (§8)</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 budget_code</w:t>
            </w:r>
          </w:p>
          <w:p>
            <w:pPr>
              <w:spacing w:after="40"/>
            </w:pPr>
            <w:r>
              <w:rPr>
                <w:b w:val="false"/>
                <w:bCs w:val="false"/>
                <w:color w:val="2C3238"/>
                <w:sz w:val="19"/>
                <w:szCs w:val="19"/>
              </w:rPr>
              <w:t xml:space="preserve">plan_reference</w:t>
            </w:r>
          </w:p>
          <w:p>
            <w:pPr>
              <w:spacing w:after="40"/>
            </w:pPr>
            <w:r>
              <w:rPr>
                <w:b w:val="false"/>
                <w:bCs w:val="false"/>
                <w:color w:val="2C3238"/>
                <w:sz w:val="19"/>
                <w:szCs w:val="19"/>
              </w:rPr>
              <w:t xml:space="preserve">approval_state</w:t>
            </w:r>
          </w:p>
          <w:p>
            <w:pPr>
              <w:spacing w:after="40"/>
            </w:pPr>
            <w:r>
              <w:rPr>
                <w:b w:val="false"/>
                <w:bCs w:val="false"/>
                <w:color w:val="2C3238"/>
                <w:sz w:val="19"/>
                <w:szCs w:val="19"/>
              </w:rPr>
              <w:t xml:space="preserve">rate_band_id</w:t>
            </w:r>
          </w:p>
          <w:p>
            <w:pPr>
              <w:spacing w:after="40"/>
            </w:pPr>
            <w:r>
              <w:rPr>
                <w:b w:val="false"/>
                <w:bCs w:val="false"/>
                <w:color w:val="2C3238"/>
                <w:sz w:val="19"/>
                <w:szCs w:val="19"/>
              </w:rPr>
              <w:t xml:space="preserve">auto_cleared (boolean)</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Assignment (§10)</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 tenure_contribution_days</w:t>
            </w:r>
          </w:p>
          <w:p>
            <w:pPr>
              <w:spacing w:after="40"/>
            </w:pPr>
            <w:r>
              <w:rPr>
                <w:b w:val="false"/>
                <w:bCs w:val="false"/>
                <w:color w:val="2C3238"/>
                <w:sz w:val="19"/>
                <w:szCs w:val="19"/>
              </w:rPr>
              <w:t xml:space="preserve">break_required_at</w:t>
            </w:r>
          </w:p>
          <w:p>
            <w:pPr>
              <w:spacing w:after="40"/>
            </w:pPr>
            <w:r>
              <w:rPr>
                <w:b w:val="false"/>
                <w:bCs w:val="false"/>
                <w:color w:val="2C3238"/>
                <w:sz w:val="19"/>
                <w:szCs w:val="19"/>
              </w:rPr>
              <w:t xml:space="preserve">client_tenure_ledger_id</w:t>
            </w:r>
          </w:p>
        </w:tc>
      </w:tr>
      <w:tr>
        <w:tc>
          <w:tcPr>
            <w:tcW w:type="dxa" w:w="2200"/>
            <w:tcMar>
              <w:top w:type="dxa" w:w="110"/>
              <w:left w:type="dxa" w:w="130"/>
              <w:bottom w:type="dxa" w:w="110"/>
              <w:right w:type="dxa" w:w="130"/>
            </w:tcMar>
          </w:tcPr>
          <w:p>
            <w:pPr>
              <w:spacing w:after="40"/>
            </w:pPr>
            <w:r>
              <w:rPr>
                <w:b w:val="false"/>
                <w:bCs w:val="false"/>
                <w:color w:val="2C3238"/>
                <w:sz w:val="19"/>
                <w:szCs w:val="19"/>
              </w:rPr>
              <w:t xml:space="preserve">Company, client kind</w:t>
            </w:r>
          </w:p>
        </w:tc>
        <w:tc>
          <w:tcPr>
            <w:tcW w:type="dxa" w:w="6800"/>
            <w:tcMar>
              <w:top w:type="dxa" w:w="110"/>
              <w:left w:type="dxa" w:w="130"/>
              <w:bottom w:type="dxa" w:w="110"/>
              <w:right w:type="dxa" w:w="130"/>
            </w:tcMar>
          </w:tcPr>
          <w:p>
            <w:pPr>
              <w:spacing w:after="40"/>
            </w:pPr>
            <w:r>
              <w:rPr>
                <w:b w:val="false"/>
                <w:bCs w:val="false"/>
                <w:color w:val="2C3238"/>
                <w:sz w:val="19"/>
                <w:szCs w:val="19"/>
              </w:rPr>
              <w:t xml:space="preserve">+ policy_set_id</w:t>
            </w:r>
          </w:p>
          <w:p>
            <w:pPr>
              <w:spacing w:after="40"/>
            </w:pPr>
            <w:r>
              <w:rPr>
                <w:b w:val="false"/>
                <w:bCs w:val="false"/>
                <w:color w:val="2C3238"/>
                <w:sz w:val="19"/>
                <w:szCs w:val="19"/>
              </w:rPr>
              <w:t xml:space="preserve">diversity_target</w:t>
            </w:r>
          </w:p>
          <w:p>
            <w:pPr>
              <w:spacing w:after="40"/>
            </w:pPr>
            <w:r>
              <w:rPr>
                <w:b w:val="false"/>
                <w:bCs w:val="false"/>
                <w:color w:val="2C3238"/>
                <w:sz w:val="19"/>
                <w:szCs w:val="19"/>
              </w:rPr>
              <w:t xml:space="preserve">audit_retention_months</w:t>
            </w:r>
          </w:p>
        </w:tc>
      </w:tr>
    </w:tbl>
    <w:p>
      <w:pPr>
        <w:spacing w:after="200"/>
      </w:pPr>
      <w:r>
        <w:t xml:space="preserve"/>
      </w:r>
    </w:p>
    <w:p>
      <w:pPr>
        <w:spacing w:after="160" w:before="400"/>
      </w:pPr>
      <w:r>
        <w:rPr>
          <w:b/>
          <w:bCs/>
          <w:color w:val="14181D"/>
          <w:sz w:val="26"/>
          <w:szCs w:val="26"/>
        </w:rPr>
        <w:t xml:space="preserve">E.9  SECTIONS EXTENDED</w:t>
      </w:r>
    </w:p>
    <w:tbl>
      <w:tblPr>
        <w:tblW w:type="dxa" w:w="9000"/>
        <w:tblBorders>
          <w:top w:val="single" w:color="D8D5CE" w:sz="2"/>
          <w:left w:val="single" w:color="D8D5CE" w:sz="2"/>
          <w:bottom w:val="single" w:color="D8D5CE" w:sz="2"/>
          <w:right w:val="single" w:color="D8D5CE" w:sz="2"/>
          <w:insideH w:val="single" w:color="D8D5CE" w:sz="2"/>
          <w:insideV w:val="single" w:color="D8D5CE" w:sz="2"/>
        </w:tblBorders>
      </w:tblPr>
      <w:tblGrid>
        <w:gridCol w:w="2700"/>
        <w:gridCol w:w="6300"/>
      </w:tblGrid>
      <w:tr>
        <w:trPr>
          <w:tblHeader/>
        </w:trPr>
        <w:tc>
          <w:tcPr>
            <w:tcW w:type="dxa" w:w="2700"/>
            <w:shd w:fill="F0EEE9" w:val="clear"/>
            <w:tcMar>
              <w:top w:type="dxa" w:w="110"/>
              <w:left w:type="dxa" w:w="130"/>
              <w:bottom w:type="dxa" w:w="110"/>
              <w:right w:type="dxa" w:w="130"/>
            </w:tcMar>
          </w:tcPr>
          <w:p>
            <w:pPr>
              <w:spacing w:after="40"/>
            </w:pPr>
            <w:r>
              <w:rPr>
                <w:b/>
                <w:bCs/>
                <w:color w:val="14181D"/>
                <w:sz w:val="18"/>
                <w:szCs w:val="18"/>
              </w:rPr>
              <w:t xml:space="preserve">Section</w:t>
            </w:r>
          </w:p>
        </w:tc>
        <w:tc>
          <w:tcPr>
            <w:tcW w:type="dxa" w:w="6300"/>
            <w:shd w:fill="F0EEE9" w:val="clear"/>
            <w:tcMar>
              <w:top w:type="dxa" w:w="110"/>
              <w:left w:type="dxa" w:w="130"/>
              <w:bottom w:type="dxa" w:w="110"/>
              <w:right w:type="dxa" w:w="130"/>
            </w:tcMar>
          </w:tcPr>
          <w:p>
            <w:pPr>
              <w:spacing w:after="40"/>
            </w:pPr>
            <w:r>
              <w:rPr>
                <w:b/>
                <w:bCs/>
                <w:color w:val="14181D"/>
                <w:sz w:val="18"/>
                <w:szCs w:val="18"/>
              </w:rPr>
              <w:t xml:space="preserve">Extension</w:t>
            </w:r>
          </w:p>
        </w:tc>
      </w:tr>
      <w:tr>
        <w:tc>
          <w:tcPr>
            <w:tcW w:type="dxa" w:w="2700"/>
            <w:tcMar>
              <w:top w:type="dxa" w:w="110"/>
              <w:left w:type="dxa" w:w="130"/>
              <w:bottom w:type="dxa" w:w="110"/>
              <w:right w:type="dxa" w:w="130"/>
            </w:tcMar>
          </w:tcPr>
          <w:p>
            <w:pPr>
              <w:spacing w:after="40"/>
            </w:pPr>
            <w:r>
              <w:rPr>
                <w:b w:val="false"/>
                <w:bCs w:val="false"/>
                <w:color w:val="2C3238"/>
                <w:sz w:val="19"/>
                <w:szCs w:val="19"/>
              </w:rPr>
              <w:t xml:space="preserve">§5.3 Work Authorization &amp; Compliance</w:t>
            </w:r>
          </w:p>
        </w:tc>
        <w:tc>
          <w:tcPr>
            <w:tcW w:type="dxa" w:w="6300"/>
            <w:tcMar>
              <w:top w:type="dxa" w:w="110"/>
              <w:left w:type="dxa" w:w="130"/>
              <w:bottom w:type="dxa" w:w="110"/>
              <w:right w:type="dxa" w:w="130"/>
            </w:tcMar>
          </w:tcPr>
          <w:p>
            <w:pPr>
              <w:spacing w:after="40"/>
            </w:pPr>
            <w:r>
              <w:rPr>
                <w:b w:val="false"/>
                <w:bCs w:val="false"/>
                <w:color w:val="2C3238"/>
                <w:sz w:val="19"/>
                <w:szCs w:val="19"/>
              </w:rPr>
              <w:t xml:space="preserve">Tenure and co-employment added alongside work authorisation. Distinct concerns, same compliance surface.</w:t>
            </w:r>
          </w:p>
        </w:tc>
      </w:tr>
      <w:tr>
        <w:tc>
          <w:tcPr>
            <w:tcW w:type="dxa" w:w="2700"/>
            <w:tcMar>
              <w:top w:type="dxa" w:w="110"/>
              <w:left w:type="dxa" w:w="130"/>
              <w:bottom w:type="dxa" w:w="110"/>
              <w:right w:type="dxa" w:w="130"/>
            </w:tcMar>
          </w:tcPr>
          <w:p>
            <w:pPr>
              <w:spacing w:after="40"/>
            </w:pPr>
            <w:r>
              <w:rPr>
                <w:b w:val="false"/>
                <w:bCs w:val="false"/>
                <w:color w:val="2C3238"/>
                <w:sz w:val="19"/>
                <w:szCs w:val="19"/>
              </w:rPr>
              <w:t xml:space="preserve">§8 Requirements</w:t>
            </w:r>
          </w:p>
        </w:tc>
        <w:tc>
          <w:tcPr>
            <w:tcW w:type="dxa" w:w="6300"/>
            <w:tcMar>
              <w:top w:type="dxa" w:w="110"/>
              <w:left w:type="dxa" w:w="130"/>
              <w:bottom w:type="dxa" w:w="110"/>
              <w:right w:type="dxa" w:w="130"/>
            </w:tcMar>
          </w:tcPr>
          <w:p>
            <w:pPr>
              <w:spacing w:after="40"/>
            </w:pPr>
            <w:r>
              <w:rPr>
                <w:b w:val="false"/>
                <w:bCs w:val="false"/>
                <w:color w:val="2C3238"/>
                <w:sz w:val="19"/>
                <w:szCs w:val="19"/>
              </w:rPr>
              <w:t xml:space="preserve">Approval state, budget reference, plan reference, rate band binding.</w:t>
            </w:r>
          </w:p>
        </w:tc>
      </w:tr>
      <w:tr>
        <w:tc>
          <w:tcPr>
            <w:tcW w:type="dxa" w:w="2700"/>
            <w:tcMar>
              <w:top w:type="dxa" w:w="110"/>
              <w:left w:type="dxa" w:w="130"/>
              <w:bottom w:type="dxa" w:w="110"/>
              <w:right w:type="dxa" w:w="130"/>
            </w:tcMar>
          </w:tcPr>
          <w:p>
            <w:pPr>
              <w:spacing w:after="40"/>
            </w:pPr>
            <w:r>
              <w:rPr>
                <w:b w:val="false"/>
                <w:bCs w:val="false"/>
                <w:color w:val="2C3238"/>
                <w:sz w:val="19"/>
                <w:szCs w:val="19"/>
              </w:rPr>
              <w:t xml:space="preserve">§10 Assignment</w:t>
            </w:r>
          </w:p>
        </w:tc>
        <w:tc>
          <w:tcPr>
            <w:tcW w:type="dxa" w:w="6300"/>
            <w:tcMar>
              <w:top w:type="dxa" w:w="110"/>
              <w:left w:type="dxa" w:w="130"/>
              <w:bottom w:type="dxa" w:w="110"/>
              <w:right w:type="dxa" w:w="130"/>
            </w:tcMar>
          </w:tcPr>
          <w:p>
            <w:pPr>
              <w:spacing w:after="40"/>
            </w:pPr>
            <w:r>
              <w:rPr>
                <w:b w:val="false"/>
                <w:bCs w:val="false"/>
                <w:color w:val="2C3238"/>
                <w:sz w:val="19"/>
                <w:szCs w:val="19"/>
              </w:rPr>
              <w:t xml:space="preserve">Tenure contribution and break-in-service eligibility.</w:t>
            </w:r>
          </w:p>
        </w:tc>
      </w:tr>
      <w:tr>
        <w:tc>
          <w:tcPr>
            <w:tcW w:type="dxa" w:w="2700"/>
            <w:tcMar>
              <w:top w:type="dxa" w:w="110"/>
              <w:left w:type="dxa" w:w="130"/>
              <w:bottom w:type="dxa" w:w="110"/>
              <w:right w:type="dxa" w:w="130"/>
            </w:tcMar>
          </w:tcPr>
          <w:p>
            <w:pPr>
              <w:spacing w:after="40"/>
            </w:pPr>
            <w:r>
              <w:rPr>
                <w:b w:val="false"/>
                <w:bCs w:val="false"/>
                <w:color w:val="2C3238"/>
                <w:sz w:val="19"/>
                <w:szCs w:val="19"/>
              </w:rPr>
              <w:t xml:space="preserve">§17 VMS &amp; Procurement Integration</w:t>
            </w:r>
          </w:p>
        </w:tc>
        <w:tc>
          <w:tcPr>
            <w:tcW w:type="dxa" w:w="6300"/>
            <w:tcMar>
              <w:top w:type="dxa" w:w="110"/>
              <w:left w:type="dxa" w:w="130"/>
              <w:bottom w:type="dxa" w:w="110"/>
              <w:right w:type="dxa" w:w="130"/>
            </w:tcMar>
          </w:tcPr>
          <w:p>
            <w:pPr>
              <w:spacing w:after="40"/>
            </w:pPr>
            <w:r>
              <w:rPr>
                <w:b w:val="false"/>
                <w:bCs w:val="false"/>
                <w:color w:val="2C3238"/>
                <w:sz w:val="19"/>
                <w:szCs w:val="19"/>
              </w:rPr>
              <w:t xml:space="preserve">Procurement modelled as a user with a role, not solely as an external system to integrate with.</w:t>
            </w:r>
          </w:p>
        </w:tc>
      </w:tr>
      <w:tr>
        <w:tc>
          <w:tcPr>
            <w:tcW w:type="dxa" w:w="2700"/>
            <w:tcMar>
              <w:top w:type="dxa" w:w="110"/>
              <w:left w:type="dxa" w:w="130"/>
              <w:bottom w:type="dxa" w:w="110"/>
              <w:right w:type="dxa" w:w="130"/>
            </w:tcMar>
          </w:tcPr>
          <w:p>
            <w:pPr>
              <w:spacing w:after="40"/>
            </w:pPr>
            <w:r>
              <w:rPr>
                <w:b w:val="false"/>
                <w:bCs w:val="false"/>
                <w:color w:val="2C3238"/>
                <w:sz w:val="19"/>
                <w:szCs w:val="19"/>
              </w:rPr>
              <w:t xml:space="preserve">§20 Analytics</w:t>
            </w:r>
          </w:p>
        </w:tc>
        <w:tc>
          <w:tcPr>
            <w:tcW w:type="dxa" w:w="6300"/>
            <w:tcMar>
              <w:top w:type="dxa" w:w="110"/>
              <w:left w:type="dxa" w:w="130"/>
              <w:bottom w:type="dxa" w:w="110"/>
              <w:right w:type="dxa" w:w="130"/>
            </w:tcMar>
          </w:tcPr>
          <w:p>
            <w:pPr>
              <w:spacing w:after="40"/>
            </w:pPr>
            <w:r>
              <w:rPr>
                <w:b w:val="false"/>
                <w:bCs w:val="false"/>
                <w:color w:val="2C3238"/>
                <w:sz w:val="19"/>
                <w:szCs w:val="19"/>
              </w:rPr>
              <w:t xml:space="preserve">Rate variance by skill and manager, exception frequency, tenure exposure, supplier tier distribution, diversity spend.</w:t>
            </w:r>
          </w:p>
        </w:tc>
      </w:tr>
      <w:tr>
        <w:tc>
          <w:tcPr>
            <w:tcW w:type="dxa" w:w="2700"/>
            <w:tcMar>
              <w:top w:type="dxa" w:w="110"/>
              <w:left w:type="dxa" w:w="130"/>
              <w:bottom w:type="dxa" w:w="110"/>
              <w:right w:type="dxa" w:w="130"/>
            </w:tcMar>
          </w:tcPr>
          <w:p>
            <w:pPr>
              <w:spacing w:after="40"/>
            </w:pPr>
            <w:r>
              <w:rPr>
                <w:b w:val="false"/>
                <w:bCs w:val="false"/>
                <w:color w:val="2C3238"/>
                <w:sz w:val="19"/>
                <w:szCs w:val="19"/>
              </w:rPr>
              <w:t xml:space="preserve">§27 Phase Plan</w:t>
            </w:r>
          </w:p>
        </w:tc>
        <w:tc>
          <w:tcPr>
            <w:tcW w:type="dxa" w:w="6300"/>
            <w:tcMar>
              <w:top w:type="dxa" w:w="110"/>
              <w:left w:type="dxa" w:w="130"/>
              <w:bottom w:type="dxa" w:w="110"/>
              <w:right w:type="dxa" w:w="130"/>
            </w:tcMar>
          </w:tcPr>
          <w:p>
            <w:pPr>
              <w:spacing w:after="40"/>
            </w:pPr>
            <w:r>
              <w:rPr>
                <w:b w:val="false"/>
                <w:bCs w:val="false"/>
                <w:color w:val="2C3238"/>
                <w:sz w:val="19"/>
                <w:szCs w:val="19"/>
              </w:rPr>
              <w:t xml:space="preserve">Tenure ledger and rate bands enter Phase 2 with the client surface. Approval chains and full audit trail in Phase 3.</w:t>
            </w:r>
          </w:p>
        </w:tc>
      </w:tr>
      <w:tr>
        <w:tc>
          <w:tcPr>
            <w:tcW w:type="dxa" w:w="2700"/>
            <w:tcMar>
              <w:top w:type="dxa" w:w="110"/>
              <w:left w:type="dxa" w:w="130"/>
              <w:bottom w:type="dxa" w:w="110"/>
              <w:right w:type="dxa" w:w="130"/>
            </w:tcMar>
          </w:tcPr>
          <w:p>
            <w:pPr>
              <w:spacing w:after="40"/>
            </w:pPr>
            <w:r>
              <w:rPr>
                <w:b w:val="false"/>
                <w:bCs w:val="false"/>
                <w:color w:val="2C3238"/>
                <w:sz w:val="19"/>
                <w:szCs w:val="19"/>
              </w:rPr>
              <w:t xml:space="preserve">Addendum D §D.3.6</w:t>
            </w:r>
          </w:p>
        </w:tc>
        <w:tc>
          <w:tcPr>
            <w:tcW w:type="dxa" w:w="6300"/>
            <w:tcMar>
              <w:top w:type="dxa" w:w="110"/>
              <w:left w:type="dxa" w:w="130"/>
              <w:bottom w:type="dxa" w:w="110"/>
              <w:right w:type="dxa" w:w="130"/>
            </w:tcMar>
          </w:tcPr>
          <w:p>
            <w:pPr>
              <w:spacing w:after="40"/>
            </w:pPr>
            <w:r>
              <w:rPr>
                <w:b w:val="false"/>
                <w:bCs w:val="false"/>
                <w:color w:val="2C3238"/>
                <w:sz w:val="19"/>
                <w:szCs w:val="19"/>
              </w:rPr>
              <w:t xml:space="preserve">Alumni re-engagement gated on tenure eligibility, per E.2.3.</w:t>
            </w:r>
          </w:p>
        </w:tc>
      </w:tr>
    </w:tbl>
    <w:p>
      <w:pPr>
        <w:spacing w:after="200"/>
      </w:pPr>
      <w:r>
        <w:t xml:space="preserve"/>
      </w:r>
    </w:p>
    <w:p>
      <w:pPr>
        <w:spacing w:after="160" w:before="400"/>
      </w:pPr>
      <w:r>
        <w:rPr>
          <w:b/>
          <w:bCs/>
          <w:color w:val="14181D"/>
          <w:sz w:val="26"/>
          <w:szCs w:val="26"/>
        </w:rPr>
        <w:t xml:space="preserve">E.10  RATIFIED DECISIONS</w:t>
      </w:r>
    </w:p>
    <w:p>
      <w:pPr>
        <w:spacing w:after="130" w:line="300"/>
      </w:pPr>
      <w:r>
        <w:rPr>
          <w:b w:val="false"/>
          <w:bCs w:val="false"/>
          <w:i w:val="false"/>
          <w:iCs w:val="false"/>
          <w:color w:val="2C3238"/>
          <w:sz w:val="20"/>
          <w:szCs w:val="20"/>
        </w:rPr>
        <w:t xml:space="preserve">Four decisions were outstanding at drafting. All four are now settled. The reasoning is recorded so that each is revisited on evidence rather than relitigated on instinct.</w:t>
      </w:r>
    </w:p>
    <w:p>
      <w:pPr>
        <w:spacing w:after="200"/>
      </w:pPr>
      <w:r>
        <w:t xml:space="preserve"/>
      </w:r>
    </w:p>
    <w:p>
      <w:pPr>
        <w:spacing w:after="120" w:before="280"/>
      </w:pPr>
      <w:r>
        <w:rPr>
          <w:b/>
          <w:bCs/>
          <w:color w:val="14181D"/>
          <w:sz w:val="22"/>
          <w:szCs w:val="22"/>
        </w:rPr>
        <w:t xml:space="preserve">E.10.1  Cross-vendor tenure aggregation — ACCEPTED as a Phase 2 engineering commitment</w:t>
      </w:r>
    </w:p>
    <w:p>
      <w:pPr>
        <w:spacing w:after="130" w:line="300"/>
      </w:pPr>
      <w:r>
        <w:rPr>
          <w:b w:val="false"/>
          <w:bCs w:val="false"/>
          <w:i w:val="false"/>
          <w:iCs w:val="false"/>
          <w:color w:val="2C3238"/>
          <w:sz w:val="20"/>
          <w:szCs w:val="20"/>
        </w:rPr>
        <w:t xml:space="preserve">Tenure will be aggregated across suppliers, which requires resolving that a person supplied by one vendor and later by another is the same individual.</w:t>
      </w:r>
    </w:p>
    <w:p>
      <w:pPr>
        <w:spacing w:after="150" w:line="300"/>
      </w:pPr>
      <w:r>
        <w:rPr>
          <w:b/>
          <w:bCs/>
          <w:color w:val="14181D"/>
          <w:sz w:val="20"/>
          <w:szCs w:val="20"/>
        </w:rPr>
        <w:t xml:space="preserve">Rationale: this is the only control a single-vendor system structurally cannot offer.</w:t>
      </w:r>
    </w:p>
    <w:p>
      <w:pPr>
        <w:spacing w:after="130" w:line="300"/>
      </w:pPr>
      <w:r>
        <w:rPr>
          <w:b w:val="false"/>
          <w:bCs w:val="false"/>
          <w:i w:val="false"/>
          <w:iCs w:val="false"/>
          <w:color w:val="2C3238"/>
          <w:sz w:val="20"/>
          <w:szCs w:val="20"/>
        </w:rPr>
        <w:t xml:space="preserve">Without it, tenure tracking is equivalent to the incumbents and is a checkbox. With it, Etyme reports an exposure that Fieldglass, Beeline and VNDLY cannot see, because they sit inside one supplier relationship at a time. This is the difference between governance as a feature and governance as the reason a client moves.</w:t>
      </w:r>
    </w:p>
    <w:p>
      <w:pPr>
        <w:spacing w:after="130" w:line="300"/>
      </w:pPr>
      <w:r>
        <w:rPr>
          <w:b w:val="false"/>
          <w:bCs w:val="false"/>
          <w:i w:val="false"/>
          <w:iCs w:val="false"/>
          <w:color w:val="2C3238"/>
          <w:sz w:val="20"/>
          <w:szCs w:val="20"/>
        </w:rPr>
        <w:t xml:space="preserve">Implementation constraints:</w:t>
      </w:r>
    </w:p>
    <w:p>
      <w:pPr>
        <w:spacing w:after="90" w:line="290"/>
        <w:ind w:left="360"/>
      </w:pPr>
      <w:r>
        <w:rPr>
          <w:color w:val="6B7280"/>
          <w:sz w:val="20"/>
          <w:szCs w:val="20"/>
        </w:rPr>
        <w:t xml:space="preserve">•   </w:t>
      </w:r>
      <w:r>
        <w:rPr>
          <w:color w:val="2C3238"/>
          <w:sz w:val="20"/>
          <w:szCs w:val="20"/>
        </w:rPr>
        <w:t xml:space="preserve">Deterministic matching on authorised identifiers where consent exists; never on unconsented personal data</w:t>
      </w:r>
    </w:p>
    <w:p>
      <w:pPr>
        <w:spacing w:after="90" w:line="290"/>
        <w:ind w:left="360"/>
      </w:pPr>
      <w:r>
        <w:rPr>
          <w:color w:val="6B7280"/>
          <w:sz w:val="20"/>
          <w:szCs w:val="20"/>
        </w:rPr>
        <w:t xml:space="preserve">•   </w:t>
      </w:r>
      <w:r>
        <w:rPr>
          <w:color w:val="2C3238"/>
          <w:sz w:val="20"/>
          <w:szCs w:val="20"/>
        </w:rPr>
        <w:t xml:space="preserve">Probabilistic matches surfaced for human confirmation, never silently merged</w:t>
      </w:r>
    </w:p>
    <w:p>
      <w:pPr>
        <w:spacing w:after="90" w:line="290"/>
        <w:ind w:left="360"/>
      </w:pPr>
      <w:r>
        <w:rPr>
          <w:color w:val="6B7280"/>
          <w:sz w:val="20"/>
          <w:szCs w:val="20"/>
        </w:rPr>
        <w:t xml:space="preserve">•   </w:t>
      </w:r>
      <w:r>
        <w:rPr>
          <w:color w:val="2C3238"/>
          <w:sz w:val="20"/>
          <w:szCs w:val="20"/>
        </w:rPr>
        <w:t xml:space="preserve">Coverage limitation stated plainly to clients: complete only for assignments that ran through the platform. Prior history is client-attested, and marked as such</w:t>
      </w:r>
    </w:p>
    <w:p>
      <w:pPr>
        <w:spacing w:after="200"/>
      </w:pPr>
      <w:r>
        <w:t xml:space="preserve"/>
      </w:r>
    </w:p>
    <w:p>
      <w:pPr>
        <w:spacing w:after="120" w:before="280"/>
      </w:pPr>
      <w:r>
        <w:rPr>
          <w:b/>
          <w:bCs/>
          <w:color w:val="14181D"/>
          <w:sz w:val="22"/>
          <w:szCs w:val="22"/>
        </w:rPr>
        <w:t xml:space="preserve">E.10.2  Enforcement — BLOCK where legally grounded, WARN elsewhere, never silently permit</w:t>
      </w:r>
    </w:p>
    <w:tbl>
      <w:tblPr>
        <w:tblW w:type="dxa" w:w="9000"/>
        <w:tblBorders>
          <w:top w:val="single" w:color="D8D5CE" w:sz="2"/>
          <w:left w:val="single" w:color="D8D5CE" w:sz="2"/>
          <w:bottom w:val="single" w:color="D8D5CE" w:sz="2"/>
          <w:right w:val="single" w:color="D8D5CE" w:sz="2"/>
          <w:insideH w:val="single" w:color="D8D5CE" w:sz="2"/>
          <w:insideV w:val="single" w:color="D8D5CE" w:sz="2"/>
        </w:tblBorders>
      </w:tblPr>
      <w:tblGrid>
        <w:gridCol w:w="2600"/>
        <w:gridCol w:w="2900"/>
        <w:gridCol w:w="3500"/>
      </w:tblGrid>
      <w:tr>
        <w:trPr>
          <w:tblHeader/>
        </w:trPr>
        <w:tc>
          <w:tcPr>
            <w:tcW w:type="dxa" w:w="2600"/>
            <w:shd w:fill="F0EEE9" w:val="clear"/>
            <w:tcMar>
              <w:top w:type="dxa" w:w="110"/>
              <w:left w:type="dxa" w:w="130"/>
              <w:bottom w:type="dxa" w:w="110"/>
              <w:right w:type="dxa" w:w="130"/>
            </w:tcMar>
          </w:tcPr>
          <w:p>
            <w:pPr>
              <w:spacing w:after="40"/>
            </w:pPr>
            <w:r>
              <w:rPr>
                <w:b/>
                <w:bCs/>
                <w:color w:val="14181D"/>
                <w:sz w:val="18"/>
                <w:szCs w:val="18"/>
              </w:rPr>
              <w:t xml:space="preserve">Control</w:t>
            </w:r>
          </w:p>
        </w:tc>
        <w:tc>
          <w:tcPr>
            <w:tcW w:type="dxa" w:w="2900"/>
            <w:shd w:fill="F0EEE9" w:val="clear"/>
            <w:tcMar>
              <w:top w:type="dxa" w:w="110"/>
              <w:left w:type="dxa" w:w="130"/>
              <w:bottom w:type="dxa" w:w="110"/>
              <w:right w:type="dxa" w:w="130"/>
            </w:tcMar>
          </w:tcPr>
          <w:p>
            <w:pPr>
              <w:spacing w:after="40"/>
            </w:pPr>
            <w:r>
              <w:rPr>
                <w:b/>
                <w:bCs/>
                <w:color w:val="14181D"/>
                <w:sz w:val="18"/>
                <w:szCs w:val="18"/>
              </w:rPr>
              <w:t xml:space="preserve">Behaviour</w:t>
            </w:r>
          </w:p>
        </w:tc>
        <w:tc>
          <w:tcPr>
            <w:tcW w:type="dxa" w:w="3500"/>
            <w:shd w:fill="F0EEE9" w:val="clear"/>
            <w:tcMar>
              <w:top w:type="dxa" w:w="110"/>
              <w:left w:type="dxa" w:w="130"/>
              <w:bottom w:type="dxa" w:w="110"/>
              <w:right w:type="dxa" w:w="130"/>
            </w:tcMar>
          </w:tcPr>
          <w:p>
            <w:pPr>
              <w:spacing w:after="40"/>
            </w:pPr>
            <w:r>
              <w:rPr>
                <w:b/>
                <w:bCs/>
                <w:color w:val="14181D"/>
                <w:sz w:val="18"/>
                <w:szCs w:val="18"/>
              </w:rPr>
              <w:t xml:space="preserve">Basis</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Tenure limit and break in service</w:t>
            </w:r>
          </w:p>
        </w:tc>
        <w:tc>
          <w:tcPr>
            <w:tcW w:type="dxa" w:w="2900"/>
            <w:tcMar>
              <w:top w:type="dxa" w:w="110"/>
              <w:left w:type="dxa" w:w="130"/>
              <w:bottom w:type="dxa" w:w="110"/>
              <w:right w:type="dxa" w:w="130"/>
            </w:tcMar>
          </w:tcPr>
          <w:p>
            <w:pPr>
              <w:spacing w:after="40"/>
            </w:pPr>
            <w:r>
              <w:rPr>
                <w:b w:val="false"/>
                <w:bCs w:val="false"/>
                <w:color w:val="2C3238"/>
                <w:sz w:val="19"/>
                <w:szCs w:val="19"/>
              </w:rPr>
              <w:t xml:space="preserve">Block</w:t>
            </w:r>
          </w:p>
        </w:tc>
        <w:tc>
          <w:tcPr>
            <w:tcW w:type="dxa" w:w="3500"/>
            <w:tcMar>
              <w:top w:type="dxa" w:w="110"/>
              <w:left w:type="dxa" w:w="130"/>
              <w:bottom w:type="dxa" w:w="110"/>
              <w:right w:type="dxa" w:w="130"/>
            </w:tcMar>
          </w:tcPr>
          <w:p>
            <w:pPr>
              <w:spacing w:after="40"/>
            </w:pPr>
            <w:r>
              <w:rPr>
                <w:b w:val="false"/>
                <w:bCs w:val="false"/>
                <w:color w:val="2C3238"/>
                <w:sz w:val="19"/>
                <w:szCs w:val="19"/>
              </w:rPr>
              <w:t xml:space="preserve">Co-employment exposure. Legally grounded</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Work authorisation invalid or expired</w:t>
            </w:r>
          </w:p>
        </w:tc>
        <w:tc>
          <w:tcPr>
            <w:tcW w:type="dxa" w:w="2900"/>
            <w:tcMar>
              <w:top w:type="dxa" w:w="110"/>
              <w:left w:type="dxa" w:w="130"/>
              <w:bottom w:type="dxa" w:w="110"/>
              <w:right w:type="dxa" w:w="130"/>
            </w:tcMar>
          </w:tcPr>
          <w:p>
            <w:pPr>
              <w:spacing w:after="40"/>
            </w:pPr>
            <w:r>
              <w:rPr>
                <w:b w:val="false"/>
                <w:bCs w:val="false"/>
                <w:color w:val="2C3238"/>
                <w:sz w:val="19"/>
                <w:szCs w:val="19"/>
              </w:rPr>
              <w:t xml:space="preserve">Block</w:t>
            </w:r>
          </w:p>
        </w:tc>
        <w:tc>
          <w:tcPr>
            <w:tcW w:type="dxa" w:w="3500"/>
            <w:tcMar>
              <w:top w:type="dxa" w:w="110"/>
              <w:left w:type="dxa" w:w="130"/>
              <w:bottom w:type="dxa" w:w="110"/>
              <w:right w:type="dxa" w:w="130"/>
            </w:tcMar>
          </w:tcPr>
          <w:p>
            <w:pPr>
              <w:spacing w:after="40"/>
            </w:pPr>
            <w:r>
              <w:rPr>
                <w:b w:val="false"/>
                <w:bCs w:val="false"/>
                <w:color w:val="2C3238"/>
                <w:sz w:val="19"/>
                <w:szCs w:val="19"/>
              </w:rPr>
              <w:t xml:space="preserve">Statutory</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Supplier insurance or certification lapsed</w:t>
            </w:r>
          </w:p>
        </w:tc>
        <w:tc>
          <w:tcPr>
            <w:tcW w:type="dxa" w:w="2900"/>
            <w:tcMar>
              <w:top w:type="dxa" w:w="110"/>
              <w:left w:type="dxa" w:w="130"/>
              <w:bottom w:type="dxa" w:w="110"/>
              <w:right w:type="dxa" w:w="130"/>
            </w:tcMar>
          </w:tcPr>
          <w:p>
            <w:pPr>
              <w:spacing w:after="40"/>
            </w:pPr>
            <w:r>
              <w:rPr>
                <w:b w:val="false"/>
                <w:bCs w:val="false"/>
                <w:color w:val="2C3238"/>
                <w:sz w:val="19"/>
                <w:szCs w:val="19"/>
              </w:rPr>
              <w:t xml:space="preserve">Block new placements only</w:t>
            </w:r>
          </w:p>
        </w:tc>
        <w:tc>
          <w:tcPr>
            <w:tcW w:type="dxa" w:w="3500"/>
            <w:tcMar>
              <w:top w:type="dxa" w:w="110"/>
              <w:left w:type="dxa" w:w="130"/>
              <w:bottom w:type="dxa" w:w="110"/>
              <w:right w:type="dxa" w:w="130"/>
            </w:tcMar>
          </w:tcPr>
          <w:p>
            <w:pPr>
              <w:spacing w:after="40"/>
            </w:pPr>
            <w:r>
              <w:rPr>
                <w:b w:val="false"/>
                <w:bCs w:val="false"/>
                <w:color w:val="2C3238"/>
                <w:sz w:val="19"/>
                <w:szCs w:val="19"/>
              </w:rPr>
              <w:t xml:space="preserve">Contractual and insurable. Existing assignments continue</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Segregation of duties violation</w:t>
            </w:r>
          </w:p>
        </w:tc>
        <w:tc>
          <w:tcPr>
            <w:tcW w:type="dxa" w:w="2900"/>
            <w:tcMar>
              <w:top w:type="dxa" w:w="110"/>
              <w:left w:type="dxa" w:w="130"/>
              <w:bottom w:type="dxa" w:w="110"/>
              <w:right w:type="dxa" w:w="130"/>
            </w:tcMar>
          </w:tcPr>
          <w:p>
            <w:pPr>
              <w:spacing w:after="40"/>
            </w:pPr>
            <w:r>
              <w:rPr>
                <w:b w:val="false"/>
                <w:bCs w:val="false"/>
                <w:color w:val="2C3238"/>
                <w:sz w:val="19"/>
                <w:szCs w:val="19"/>
              </w:rPr>
              <w:t xml:space="preserve">Block</w:t>
            </w:r>
          </w:p>
        </w:tc>
        <w:tc>
          <w:tcPr>
            <w:tcW w:type="dxa" w:w="3500"/>
            <w:tcMar>
              <w:top w:type="dxa" w:w="110"/>
              <w:left w:type="dxa" w:w="130"/>
              <w:bottom w:type="dxa" w:w="110"/>
              <w:right w:type="dxa" w:w="130"/>
            </w:tcMar>
          </w:tcPr>
          <w:p>
            <w:pPr>
              <w:spacing w:after="40"/>
            </w:pPr>
            <w:r>
              <w:rPr>
                <w:b w:val="false"/>
                <w:bCs w:val="false"/>
                <w:color w:val="2C3238"/>
                <w:sz w:val="19"/>
                <w:szCs w:val="19"/>
              </w:rPr>
              <w:t xml:space="preserve">Control integrity. No legitimate override</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Rate above band</w:t>
            </w:r>
          </w:p>
        </w:tc>
        <w:tc>
          <w:tcPr>
            <w:tcW w:type="dxa" w:w="2900"/>
            <w:tcMar>
              <w:top w:type="dxa" w:w="110"/>
              <w:left w:type="dxa" w:w="130"/>
              <w:bottom w:type="dxa" w:w="110"/>
              <w:right w:type="dxa" w:w="130"/>
            </w:tcMar>
          </w:tcPr>
          <w:p>
            <w:pPr>
              <w:spacing w:after="40"/>
            </w:pPr>
            <w:r>
              <w:rPr>
                <w:b w:val="false"/>
                <w:bCs w:val="false"/>
                <w:color w:val="2C3238"/>
                <w:sz w:val="19"/>
                <w:szCs w:val="19"/>
              </w:rPr>
              <w:t xml:space="preserve">Warn, capture reason, proceed</w:t>
            </w:r>
          </w:p>
        </w:tc>
        <w:tc>
          <w:tcPr>
            <w:tcW w:type="dxa" w:w="3500"/>
            <w:tcMar>
              <w:top w:type="dxa" w:w="110"/>
              <w:left w:type="dxa" w:w="130"/>
              <w:bottom w:type="dxa" w:w="110"/>
              <w:right w:type="dxa" w:w="130"/>
            </w:tcMar>
          </w:tcPr>
          <w:p>
            <w:pPr>
              <w:spacing w:after="40"/>
            </w:pPr>
            <w:r>
              <w:rPr>
                <w:b w:val="false"/>
                <w:bCs w:val="false"/>
                <w:color w:val="2C3238"/>
                <w:sz w:val="19"/>
                <w:szCs w:val="19"/>
              </w:rPr>
              <w:t xml:space="preserve">Commercial preference, not law</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Outside headcount plan</w:t>
            </w:r>
          </w:p>
        </w:tc>
        <w:tc>
          <w:tcPr>
            <w:tcW w:type="dxa" w:w="2900"/>
            <w:tcMar>
              <w:top w:type="dxa" w:w="110"/>
              <w:left w:type="dxa" w:w="130"/>
              <w:bottom w:type="dxa" w:w="110"/>
              <w:right w:type="dxa" w:w="130"/>
            </w:tcMar>
          </w:tcPr>
          <w:p>
            <w:pPr>
              <w:spacing w:after="40"/>
            </w:pPr>
            <w:r>
              <w:rPr>
                <w:b w:val="false"/>
                <w:bCs w:val="false"/>
                <w:color w:val="2C3238"/>
                <w:sz w:val="19"/>
                <w:szCs w:val="19"/>
              </w:rPr>
              <w:t xml:space="preserve">Warn, route to planning, proceed</w:t>
            </w:r>
          </w:p>
        </w:tc>
        <w:tc>
          <w:tcPr>
            <w:tcW w:type="dxa" w:w="3500"/>
            <w:tcMar>
              <w:top w:type="dxa" w:w="110"/>
              <w:left w:type="dxa" w:w="130"/>
              <w:bottom w:type="dxa" w:w="110"/>
              <w:right w:type="dxa" w:w="130"/>
            </w:tcMar>
          </w:tcPr>
          <w:p>
            <w:pPr>
              <w:spacing w:after="40"/>
            </w:pPr>
            <w:r>
              <w:rPr>
                <w:b w:val="false"/>
                <w:bCs w:val="false"/>
                <w:color w:val="2C3238"/>
                <w:sz w:val="19"/>
                <w:szCs w:val="19"/>
              </w:rPr>
              <w:t xml:space="preserve">Budgetary, not legal</w:t>
            </w:r>
          </w:p>
        </w:tc>
      </w:tr>
      <w:tr>
        <w:tc>
          <w:tcPr>
            <w:tcW w:type="dxa" w:w="2600"/>
            <w:tcMar>
              <w:top w:type="dxa" w:w="110"/>
              <w:left w:type="dxa" w:w="130"/>
              <w:bottom w:type="dxa" w:w="110"/>
              <w:right w:type="dxa" w:w="130"/>
            </w:tcMar>
          </w:tcPr>
          <w:p>
            <w:pPr>
              <w:spacing w:after="40"/>
            </w:pPr>
            <w:r>
              <w:rPr>
                <w:b w:val="false"/>
                <w:bCs w:val="false"/>
                <w:color w:val="2C3238"/>
                <w:sz w:val="19"/>
                <w:szCs w:val="19"/>
              </w:rPr>
              <w:t xml:space="preserve">Non-preferred or one-time vendor</w:t>
            </w:r>
          </w:p>
        </w:tc>
        <w:tc>
          <w:tcPr>
            <w:tcW w:type="dxa" w:w="2900"/>
            <w:tcMar>
              <w:top w:type="dxa" w:w="110"/>
              <w:left w:type="dxa" w:w="130"/>
              <w:bottom w:type="dxa" w:w="110"/>
              <w:right w:type="dxa" w:w="130"/>
            </w:tcMar>
          </w:tcPr>
          <w:p>
            <w:pPr>
              <w:spacing w:after="40"/>
            </w:pPr>
            <w:r>
              <w:rPr>
                <w:b w:val="false"/>
                <w:bCs w:val="false"/>
                <w:color w:val="2C3238"/>
                <w:sz w:val="19"/>
                <w:szCs w:val="19"/>
              </w:rPr>
              <w:t xml:space="preserve">Warn, surface full onboarding cost, proceed</w:t>
            </w:r>
          </w:p>
        </w:tc>
        <w:tc>
          <w:tcPr>
            <w:tcW w:type="dxa" w:w="3500"/>
            <w:tcMar>
              <w:top w:type="dxa" w:w="110"/>
              <w:left w:type="dxa" w:w="130"/>
              <w:bottom w:type="dxa" w:w="110"/>
              <w:right w:type="dxa" w:w="130"/>
            </w:tcMar>
          </w:tcPr>
          <w:p>
            <w:pPr>
              <w:spacing w:after="40"/>
            </w:pPr>
            <w:r>
              <w:rPr>
                <w:b w:val="false"/>
                <w:bCs w:val="false"/>
                <w:color w:val="2C3238"/>
                <w:sz w:val="19"/>
                <w:szCs w:val="19"/>
              </w:rPr>
              <w:t xml:space="preserve">Efficiency, not compliance</w:t>
            </w:r>
          </w:p>
        </w:tc>
      </w:tr>
    </w:tbl>
    <w:p>
      <w:pPr>
        <w:spacing w:after="200"/>
      </w:pPr>
      <w:r>
        <w:t xml:space="preserve"/>
      </w:r>
    </w:p>
    <w:p>
      <w:pPr>
        <w:spacing w:after="150" w:line="300"/>
      </w:pPr>
      <w:r>
        <w:rPr>
          <w:b/>
          <w:bCs/>
          <w:color w:val="14181D"/>
          <w:sz w:val="20"/>
          <w:szCs w:val="20"/>
        </w:rPr>
        <w:t xml:space="preserve">Reasoning on both sides of the line.</w:t>
      </w:r>
    </w:p>
    <w:p>
      <w:pPr>
        <w:spacing w:after="130" w:line="300"/>
      </w:pPr>
      <w:r>
        <w:rPr>
          <w:b w:val="false"/>
          <w:bCs w:val="false"/>
          <w:i w:val="false"/>
          <w:iCs w:val="false"/>
          <w:color w:val="2C3238"/>
          <w:sz w:val="20"/>
          <w:szCs w:val="20"/>
        </w:rPr>
        <w:t xml:space="preserve">A block that is not legally grounded pushes hiring off the platform, and off-platform hiring is invisible hiring — which defeats the purpose of the system and reproduces the fourteen-vendor tail. A warning that is ignored, however, creates a durable record that the client was informed and proceeded. Where the underlying matter is legal exposure, that record is worse for the client in litigation than having no system at all. Etyme must not manufacture evidence against its own customers.</w:t>
      </w:r>
    </w:p>
    <w:p>
      <w:pPr>
        <w:spacing w:after="200"/>
      </w:pPr>
      <w:r>
        <w:t xml:space="preserve"/>
      </w:r>
    </w:p>
    <w:p>
      <w:pPr>
        <w:spacing w:after="120" w:before="280"/>
      </w:pPr>
      <w:r>
        <w:rPr>
          <w:b/>
          <w:bCs/>
          <w:color w:val="14181D"/>
          <w:sz w:val="22"/>
          <w:szCs w:val="22"/>
        </w:rPr>
        <w:t xml:space="preserve">E.10.3  Policy configuration — ETYME-CONFIGURED at onboarding, client-editable thereafter</w:t>
      </w:r>
    </w:p>
    <w:p>
      <w:pPr>
        <w:spacing w:after="130" w:line="300"/>
      </w:pPr>
      <w:r>
        <w:rPr>
          <w:b w:val="false"/>
          <w:bCs w:val="false"/>
          <w:i w:val="false"/>
          <w:iCs w:val="false"/>
          <w:color w:val="2C3238"/>
          <w:sz w:val="20"/>
          <w:szCs w:val="20"/>
        </w:rPr>
        <w:t xml:space="preserve">Client policy is drafted with the client during onboarding and handed over once live. Configuration is not presented as a blank form to a client who has never written a tenure policy.</w:t>
      </w:r>
    </w:p>
    <w:p>
      <w:pPr>
        <w:spacing w:after="150" w:line="300"/>
      </w:pPr>
      <w:r>
        <w:rPr>
          <w:b/>
          <w:bCs/>
          <w:color w:val="14181D"/>
          <w:sz w:val="20"/>
          <w:szCs w:val="20"/>
        </w:rPr>
        <w:t xml:space="preserve">Rationale: with no installed base, correctness on day one matters more than configuration at scale.</w:t>
      </w:r>
    </w:p>
    <w:p>
      <w:pPr>
        <w:spacing w:after="130" w:line="300"/>
      </w:pPr>
      <w:r>
        <w:rPr>
          <w:b w:val="false"/>
          <w:bCs w:val="false"/>
          <w:i w:val="false"/>
          <w:iCs w:val="false"/>
          <w:color w:val="2C3238"/>
          <w:sz w:val="20"/>
          <w:szCs w:val="20"/>
        </w:rPr>
        <w:t xml:space="preserve">Most mid-market clients do not have a written contingent workforce policy. Presenting an empty policy engine produces either an unused feature or a wrong one. A drafted starting position, derived from segment norms and adjusted with them, produces a correct policy immediately and a well-informed client.</w:t>
      </w:r>
    </w:p>
    <w:p>
      <w:pPr>
        <w:spacing w:after="130" w:line="300"/>
      </w:pPr>
      <w:r>
        <w:rPr>
          <w:b w:val="false"/>
          <w:bCs w:val="false"/>
          <w:i w:val="false"/>
          <w:iCs w:val="false"/>
          <w:color w:val="2C3238"/>
          <w:sz w:val="20"/>
          <w:szCs w:val="20"/>
        </w:rPr>
        <w:t xml:space="preserve">Revisit when client count exceeds the capacity to run onboarding personally. That is a good problem and a later one.</w:t>
      </w:r>
    </w:p>
    <w:p>
      <w:pPr>
        <w:spacing w:after="200"/>
      </w:pPr>
      <w:r>
        <w:t xml:space="preserve"/>
      </w:r>
    </w:p>
    <w:p>
      <w:pPr>
        <w:spacing w:after="120" w:before="280"/>
      </w:pPr>
      <w:r>
        <w:rPr>
          <w:b/>
          <w:bCs/>
          <w:color w:val="14181D"/>
          <w:sz w:val="22"/>
          <w:szCs w:val="22"/>
        </w:rPr>
        <w:t xml:space="preserve">E.10.4  Commercial treatment — TABLE STAKES, not an enterprise upsell</w:t>
      </w:r>
    </w:p>
    <w:p>
      <w:pPr>
        <w:spacing w:after="130" w:line="300"/>
      </w:pPr>
      <w:r>
        <w:rPr>
          <w:b w:val="false"/>
          <w:bCs w:val="false"/>
          <w:i w:val="false"/>
          <w:iCs w:val="false"/>
          <w:color w:val="2C3238"/>
          <w:sz w:val="20"/>
          <w:szCs w:val="20"/>
        </w:rPr>
        <w:t xml:space="preserve">Governance is included for any client with more than one hiring manager. It is not gated behind an enterprise tier.</w:t>
      </w:r>
    </w:p>
    <w:p>
      <w:pPr>
        <w:spacing w:after="150" w:line="300"/>
      </w:pPr>
      <w:r>
        <w:rPr>
          <w:b/>
          <w:bCs/>
          <w:color w:val="14181D"/>
          <w:sz w:val="20"/>
          <w:szCs w:val="20"/>
        </w:rPr>
        <w:t xml:space="preserve">Rationale: incumbents assume governance, so pricing it as premium loses the deal at evaluation rather than at negotiation.</w:t>
      </w:r>
    </w:p>
    <w:p>
      <w:pPr>
        <w:spacing w:after="130" w:line="300"/>
      </w:pPr>
      <w:r>
        <w:rPr>
          <w:b w:val="false"/>
          <w:bCs w:val="false"/>
          <w:i w:val="false"/>
          <w:iCs w:val="false"/>
          <w:color w:val="2C3238"/>
          <w:sz w:val="20"/>
          <w:szCs w:val="20"/>
        </w:rPr>
        <w:t xml:space="preserve">A client comparing Etyme against a VMS does not experience policy enforcement as an added benefit. They experience its absence as a disqualification. Governance is the reason a client leaves a spreadsheet; it is not an addition sold to one who already has.</w:t>
      </w:r>
    </w:p>
    <w:p>
      <w:pPr>
        <w:spacing w:after="130" w:line="300"/>
      </w:pPr>
      <w:r>
        <w:rPr>
          <w:b w:val="false"/>
          <w:bCs w:val="false"/>
          <w:i w:val="false"/>
          <w:iCs w:val="false"/>
          <w:color w:val="2C3238"/>
          <w:sz w:val="20"/>
          <w:szCs w:val="20"/>
        </w:rPr>
        <w:t xml:space="preserve">The enterprise tier differentiates on integration depth, single sign-on, dedicated environment, data residency and support commitments — not on whether the platform enforces the client's own policy.</w:t>
      </w:r>
    </w:p>
    <w:p>
      <w:pPr>
        <w:spacing w:after="200"/>
      </w:pPr>
      <w:r>
        <w:t xml:space="preserve"/>
      </w:r>
    </w:p>
    <w:p>
      <w:pPr>
        <w:spacing w:after="130" w:line="300"/>
      </w:pPr>
      <w:r>
        <w:rPr>
          <w:b w:val="false"/>
          <w:bCs w:val="false"/>
          <w:i/>
          <w:iCs/>
          <w:color w:val="6B7280"/>
          <w:sz w:val="20"/>
          <w:szCs w:val="20"/>
        </w:rPr>
        <w:t xml:space="preserve">Recorded against Master BRD v3.7 — Frozen Baseline. On ratification, increment to v3.9 or consolidate at the next major revision.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Etyme BRD Addendum E — Client Workforce Governance</dc:title>
  <dc:creator>Etyme</dc:creator>
  <cp:lastModifiedBy>Un-named</cp:lastModifiedBy>
  <cp:revision>1</cp:revision>
  <dcterms:created xsi:type="dcterms:W3CDTF">2026-08-04T00:16:16.877Z</dcterms:created>
  <dcterms:modified xsi:type="dcterms:W3CDTF">2026-08-04T00:16:16.893Z</dcterms:modified>
</cp:coreProperties>
</file>

<file path=docProps/custom.xml><?xml version="1.0" encoding="utf-8"?>
<Properties xmlns="http://schemas.openxmlformats.org/officeDocument/2006/custom-properties" xmlns:vt="http://schemas.openxmlformats.org/officeDocument/2006/docPropsVTypes"/>
</file>