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i/>
          <w:iCs/>
          <w:color w:val="6B7280"/>
          <w:sz w:val="20"/>
          <w:szCs w:val="20"/>
        </w:rPr>
        <w:t xml:space="preserve">The Enterprise Layer for Contingent Talent</w:t>
      </w:r>
    </w:p>
    <w:p>
      <w:pPr>
        <w:spacing w:after="100"/>
      </w:pPr>
      <w:r>
        <w:rPr>
          <w:b/>
          <w:bCs/>
          <w:color w:val="14181D"/>
          <w:sz w:val="34"/>
          <w:szCs w:val="34"/>
        </w:rPr>
        <w:t xml:space="preserve">ADDENDUM D</w:t>
      </w:r>
    </w:p>
    <w:p>
      <w:pPr>
        <w:spacing w:after="240"/>
      </w:pPr>
      <w:r>
        <w:rPr>
          <w:color w:val="14181D"/>
          <w:sz w:val="26"/>
          <w:szCs w:val="26"/>
        </w:rPr>
        <w:t xml:space="preserve">Work Authorization Transition &amp; Consultant Retention</w:t>
      </w:r>
    </w:p>
    <w:p>
      <w:pPr>
        <w:spacing w:after="130" w:line="30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Amends Master BRD v3.7 (FROZEN BASELINE). Issued under the baseline rule: amendments require a change log, not a rewrite. No section of v3.7 is superseded; the sections listed in D.8 are extended.</w:t>
      </w:r>
    </w:p>
    <w:p>
      <w:pPr>
        <w:spacing w:after="200"/>
      </w:pPr>
      <w:r>
        <w:t xml:space="preserve"/>
      </w:r>
    </w:p>
    <w:tbl>
      <w:tblPr>
        <w:tblW w:type="dxa" w:w="9000"/>
        <w:tblBorders>
          <w:top w:val="single" w:color="D8D5CE" w:sz="2"/>
          <w:left w:val="single" w:color="D8D5CE" w:sz="2"/>
          <w:bottom w:val="single" w:color="D8D5CE" w:sz="2"/>
          <w:right w:val="single" w:color="D8D5CE" w:sz="2"/>
          <w:insideH w:val="single" w:color="D8D5CE" w:sz="2"/>
          <w:insideV w:val="single" w:color="D8D5CE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>Field</w:t>
            </w:r>
          </w:p>
        </w:tc>
        <w:tc>
          <w:tcPr>
            <w:tcW w:type="dxa" w:w="640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Addendum</w:t>
            </w:r>
          </w:p>
        </w:tc>
        <w:tc>
          <w:tcPr>
            <w:tcW w:type="dxa" w:w="64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26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Amends</w:t>
            </w:r>
          </w:p>
        </w:tc>
        <w:tc>
          <w:tcPr>
            <w:tcW w:type="dxa" w:w="64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Master BRD v3.7 — Frozen Baseline</w:t>
            </w:r>
          </w:p>
        </w:tc>
      </w:tr>
      <w:tr>
        <w:tc>
          <w:tcPr>
            <w:tcW w:type="dxa" w:w="26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Status</w:t>
            </w:r>
          </w:p>
        </w:tc>
        <w:tc>
          <w:tcPr>
            <w:tcW w:type="dxa" w:w="64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Proposed — pending founder ratification</w:t>
            </w:r>
          </w:p>
        </w:tc>
      </w:tr>
      <w:tr>
        <w:tc>
          <w:tcPr>
            <w:tcW w:type="dxa" w:w="26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Trigger</w:t>
            </w:r>
          </w:p>
        </w:tc>
        <w:tc>
          <w:tcPr>
            <w:tcW w:type="dxa" w:w="64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Field observation: collapse of the H1B/OPT supply model in mid-tier desi consulting</w:t>
            </w:r>
          </w:p>
        </w:tc>
      </w:tr>
      <w:tr>
        <w:tc>
          <w:tcPr>
            <w:tcW w:type="dxa" w:w="26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Sections extended</w:t>
            </w:r>
          </w:p>
        </w:tc>
        <w:tc>
          <w:tcPr>
            <w:tcW w:type="dxa" w:w="64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§5.3, §6, §7, §10.4, §15, §20, §27</w:t>
            </w:r>
          </w:p>
        </w:tc>
      </w:tr>
      <w:tr>
        <w:tc>
          <w:tcPr>
            <w:tcW w:type="dxa" w:w="26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Phase impact</w:t>
            </w:r>
          </w:p>
        </w:tc>
        <w:tc>
          <w:tcPr>
            <w:tcW w:type="dxa" w:w="64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Adds scope to Phase 1–2; no change to sequencing rule</w:t>
            </w:r>
          </w:p>
        </w:tc>
      </w:tr>
      <w:tr>
        <w:tc>
          <w:tcPr>
            <w:tcW w:type="dxa" w:w="26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4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Confidential</w:t>
            </w:r>
          </w:p>
        </w:tc>
      </w:tr>
    </w:tbl>
    <w:p>
      <w:r>
        <w:br w:type="page"/>
      </w:r>
    </w:p>
    <w:p>
      <w:pPr>
        <w:spacing w:after="160" w:before="400"/>
      </w:pPr>
      <w:r>
        <w:rPr>
          <w:b/>
          <w:bCs/>
          <w:color w:val="14181D"/>
          <w:sz w:val="26"/>
          <w:szCs w:val="26"/>
        </w:rPr>
        <w:t xml:space="preserve">D.1  THE OBSERVATION</w:t>
      </w:r>
    </w:p>
    <w:p>
      <w:pPr>
        <w:spacing w:after="150" w:line="300"/>
      </w:pPr>
      <w:r>
        <w:rPr>
          <w:b/>
          <w:bCs/>
          <w:color w:val="14181D"/>
          <w:sz w:val="20"/>
          <w:szCs w:val="20"/>
        </w:rPr>
        <w:t xml:space="preserve">The visa was never a benefit. It was the retention mechanism.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Mid-tier consulting built its supply model on H1B and OPT candidates. Sponsorship performed three commercial functions simultaneously, none of which were ever priced or named: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It justified a below-market pay rate — the visa itself was part of the compensation.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It made bench tolerable — a consultant on bench retains status; a consultant who leaves may not.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It made departure expensive — transfer friction, GC queue position, and timing risk all raised the cost of walking.</w:t>
      </w:r>
    </w:p>
    <w:p>
      <w:pPr>
        <w:spacing w:after="200"/>
      </w:pPr>
      <w:r>
        <w:t xml:space="preserve"/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The consequence is structural, and it is the reason this addendum exists: because the visa held consultants in place, no attraction or retention capability was ever built. Two decades of supply-side operation produced deep sourcing muscle and effectively no employer-brand muscle.</w:t>
      </w:r>
    </w:p>
    <w:p>
      <w:pPr>
        <w:spacing w:after="150" w:line="300"/>
      </w:pPr>
      <w:r>
        <w:rPr>
          <w:b/>
          <w:bCs/>
          <w:color w:val="14181D"/>
          <w:sz w:val="20"/>
          <w:szCs w:val="20"/>
        </w:rPr>
        <w:t xml:space="preserve">Removing the visa does not create a hiring problem. It exposes an absence.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A US citizen or green card holder can leave on Friday. Nothing in the current model gives them a reason not to.</w:t>
      </w:r>
    </w:p>
    <w:p>
      <w:pPr>
        <w:spacing w:after="200"/>
      </w:pPr>
      <w:r>
        <w:t xml:space="preserve"/>
      </w:r>
    </w:p>
    <w:p>
      <w:pPr>
        <w:spacing w:after="160" w:before="400"/>
      </w:pPr>
      <w:r>
        <w:rPr>
          <w:b/>
          <w:bCs/>
          <w:color w:val="14181D"/>
          <w:sz w:val="26"/>
          <w:szCs w:val="26"/>
        </w:rPr>
        <w:t xml:space="preserve">D.2  WHY THE TRANSITION IS NOW FORCED</w:t>
      </w:r>
    </w:p>
    <w:tbl>
      <w:tblPr>
        <w:tblW w:type="dxa" w:w="9000"/>
        <w:tblBorders>
          <w:top w:val="single" w:color="D8D5CE" w:sz="2"/>
          <w:left w:val="single" w:color="D8D5CE" w:sz="2"/>
          <w:bottom w:val="single" w:color="D8D5CE" w:sz="2"/>
          <w:right w:val="single" w:color="D8D5CE" w:sz="2"/>
          <w:insideH w:val="single" w:color="D8D5CE" w:sz="2"/>
          <w:insideV w:val="single" w:color="D8D5CE" w:sz="2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>Pressure</w:t>
            </w:r>
          </w:p>
        </w:tc>
        <w:tc>
          <w:tcPr>
            <w:tcW w:type="dxa" w:w="610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>Effect on the H1B/OPT model</w:t>
            </w:r>
          </w:p>
        </w:tc>
      </w:tr>
      <w:tr>
        <w:tc>
          <w:tcPr>
            <w:tcW w:type="dxa" w:w="29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Cap odds and sponsorship cost</w:t>
            </w:r>
          </w:p>
        </w:tc>
        <w:tc>
          <w:tcPr>
            <w:tcW w:type="dxa" w:w="61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Per-hire acquisition cost rises while margin per placement falls. The arbitrage inverts.</w:t>
            </w:r>
          </w:p>
        </w:tc>
      </w:tr>
      <w:tr>
        <w:tc>
          <w:tcPr>
            <w:tcW w:type="dxa" w:w="29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Client work-authorization mandates</w:t>
            </w:r>
          </w:p>
        </w:tc>
        <w:tc>
          <w:tcPr>
            <w:tcW w:type="dxa" w:w="61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Finance, healthcare, defense-adjacent and public-sector work increasingly requires citizen or GC status. Entire demand segments become unreachable.</w:t>
            </w:r>
          </w:p>
        </w:tc>
      </w:tr>
      <w:tr>
        <w:tc>
          <w:tcPr>
            <w:tcW w:type="dxa" w:w="29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Rate compression</w:t>
            </w:r>
          </w:p>
        </w:tc>
        <w:tc>
          <w:tcPr>
            <w:tcW w:type="dxa" w:w="61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The discount that visa candidates accepted is no longer sufficient to win on price alone.</w:t>
            </w:r>
          </w:p>
        </w:tc>
      </w:tr>
      <w:tr>
        <w:tc>
          <w:tcPr>
            <w:tcW w:type="dxa" w:w="29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Recruiter attrition</w:t>
            </w:r>
          </w:p>
        </w:tc>
        <w:tc>
          <w:tcPr>
            <w:tcW w:type="dxa" w:w="61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Sourcing headcount is the variable cost of the volume model. As hit rates fall, that headcount is cut first, and no new entrants replace it.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Restated in the language of §1.2: the volume-arbitrage model is losing both of its inputs at once — cheap supply and cheap sourcing labour. Firms respond by increasing submission volume, which is the one lever that has already stopped working.</w:t>
      </w:r>
    </w:p>
    <w:p>
      <w:pPr>
        <w:spacing w:after="200"/>
      </w:pPr>
      <w:r>
        <w:t xml:space="preserve"/>
      </w:r>
    </w:p>
    <w:p>
      <w:pPr>
        <w:spacing w:after="160" w:before="400"/>
      </w:pPr>
      <w:r>
        <w:rPr>
          <w:b/>
          <w:bCs/>
          <w:color w:val="14181D"/>
          <w:sz w:val="26"/>
          <w:szCs w:val="26"/>
        </w:rPr>
        <w:t xml:space="preserve">D.3  WHAT REPLACES THE VISA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A retention mechanism for a labour pool that can leave must make the consultant genuinely better off. There is no coercive substitute. Seven mechanisms are specified across D.3.1 to D.3.7; all are product surface, not policy.</w:t>
      </w:r>
    </w:p>
    <w:p>
      <w:pPr>
        <w:spacing w:after="200"/>
      </w:pPr>
      <w:r>
        <w:t xml:space="preserve"/>
      </w:r>
    </w:p>
    <w:p>
      <w:pPr>
        <w:spacing w:after="120" w:before="280"/>
      </w:pPr>
      <w:r>
        <w:rPr>
          <w:b/>
          <w:bCs/>
          <w:color w:val="14181D"/>
          <w:sz w:val="22"/>
          <w:szCs w:val="22"/>
        </w:rPr>
        <w:t xml:space="preserve">D.3.1  Two kinds of margin</w:t>
      </w:r>
    </w:p>
    <w:p>
      <w:pPr>
        <w:spacing w:after="150" w:line="300"/>
      </w:pPr>
      <w:r>
        <w:rPr>
          <w:b/>
          <w:bCs/>
          <w:color w:val="14181D"/>
          <w:sz w:val="20"/>
          <w:szCs w:val="20"/>
        </w:rPr>
        <w:t xml:space="preserve">Transparency policy fails if it treats all margin as the same thing.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The addendum distinguishes two margins that have been conflated throughout the baseline and throughout the industry:</w:t>
      </w:r>
    </w:p>
    <w:p>
      <w:pPr>
        <w:spacing w:after="200"/>
      </w:pPr>
      <w:r>
        <w:t xml:space="preserve"/>
      </w:r>
    </w:p>
    <w:tbl>
      <w:tblPr>
        <w:tblW w:type="dxa" w:w="9000"/>
        <w:tblBorders>
          <w:top w:val="single" w:color="D8D5CE" w:sz="2"/>
          <w:left w:val="single" w:color="D8D5CE" w:sz="2"/>
          <w:bottom w:val="single" w:color="D8D5CE" w:sz="2"/>
          <w:right w:val="single" w:color="D8D5CE" w:sz="2"/>
          <w:insideH w:val="single" w:color="D8D5CE" w:sz="2"/>
          <w:insideV w:val="single" w:color="D8D5CE" w:sz="2"/>
        </w:tblBorders>
      </w:tblPr>
      <w:tblGrid>
        <w:gridCol w:w="1500"/>
        <w:gridCol w:w="3750"/>
        <w:gridCol w:w="3750"/>
      </w:tblGrid>
      <w:tr>
        <w:trPr>
          <w:tblHeader/>
        </w:trPr>
        <w:tc>
          <w:tcPr>
            <w:tcW w:type="dxa" w:w="150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>Arbitrage margin</w:t>
            </w:r>
          </w:p>
        </w:tc>
        <w:tc>
          <w:tcPr>
            <w:tcW w:type="dxa" w:w="375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>Expertise margin</w:t>
            </w:r>
          </w:p>
        </w:tc>
      </w:tr>
      <w:tr>
        <w:tc>
          <w:tcPr>
            <w:tcW w:type="dxa" w:w="15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Source</w:t>
            </w:r>
          </w:p>
        </w:tc>
        <w:tc>
          <w:tcPr>
            <w:tcW w:type="dxa" w:w="37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Information asymmetry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Consultant lacks options or price knowledge</w:t>
            </w:r>
          </w:p>
        </w:tc>
        <w:tc>
          <w:tcPr>
            <w:tcW w:type="dxa" w:w="37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Domain capability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Fill speed, bench depth, client trust built over years</w:t>
            </w:r>
          </w:p>
        </w:tc>
      </w:tr>
      <w:tr>
        <w:tc>
          <w:tcPr>
            <w:tcW w:type="dxa" w:w="15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Mechanism</w:t>
            </w:r>
          </w:p>
        </w:tc>
        <w:tc>
          <w:tcPr>
            <w:tcW w:type="dxa" w:w="37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Opacity is the margin</w:t>
            </w:r>
          </w:p>
        </w:tc>
        <w:tc>
          <w:tcPr>
            <w:tcW w:type="dxa" w:w="37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Capability is the margin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Opacity is incidental</w:t>
            </w:r>
          </w:p>
        </w:tc>
      </w:tr>
      <w:tr>
        <w:tc>
          <w:tcPr>
            <w:tcW w:type="dxa" w:w="15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Durability</w:t>
            </w:r>
          </w:p>
        </w:tc>
        <w:tc>
          <w:tcPr>
            <w:tcW w:type="dxa" w:w="37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Collapsing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Citizens and GC holders will not accept it</w:t>
            </w:r>
          </w:p>
        </w:tc>
        <w:tc>
          <w:tcPr>
            <w:tcW w:type="dxa" w:w="37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Defensible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Buyer pays for certainty, not for ignorance</w:t>
            </w:r>
          </w:p>
        </w:tc>
      </w:tr>
      <w:tr>
        <w:tc>
          <w:tcPr>
            <w:tcW w:type="dxa" w:w="15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Function</w:t>
            </w:r>
          </w:p>
        </w:tc>
        <w:tc>
          <w:tcPr>
            <w:tcW w:type="dxa" w:w="37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Extraction</w:t>
            </w:r>
          </w:p>
        </w:tc>
        <w:tc>
          <w:tcPr>
            <w:tcW w:type="dxa" w:w="37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Funds reinvestment — practice depth, training, bench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50" w:line="300"/>
      </w:pPr>
      <w:r>
        <w:rPr>
          <w:b/>
          <w:bCs/>
          <w:color w:val="14181D"/>
          <w:sz w:val="20"/>
          <w:szCs w:val="20"/>
        </w:rPr>
        <w:t xml:space="preserve">The human capital thesis is only affordable on expertise margin.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Coaching, reskilling and paid developing bench (D.3.5) cannot be funded from a commodity arbitrage spread. They can be funded from a domain practice margin. The vendor's stronghold domains are therefore not an exception to the platform thesis stated at §1.1 — they are the only place it is economically viable. Margin funds the mentorship.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A platform-wide transparency mandate would destroy both margins to correct one. That is the reasoning behind D.3.2.</w:t>
      </w:r>
    </w:p>
    <w:p>
      <w:pPr>
        <w:spacing w:after="200"/>
      </w:pPr>
      <w:r>
        <w:t xml:space="preserve"/>
      </w:r>
    </w:p>
    <w:p>
      <w:pPr>
        <w:spacing w:after="120" w:before="280"/>
      </w:pPr>
      <w:r>
        <w:rPr>
          <w:b/>
          <w:bCs/>
          <w:color w:val="14181D"/>
          <w:sz w:val="22"/>
          <w:szCs w:val="22"/>
        </w:rPr>
        <w:t xml:space="preserve">D.3.2  Rate visibility — a per-requirement setting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Rate visibility is set at requirement level, inheriting a company default. It is not a company-wide switch and not a platform mandate.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Vendors disclose where disclosure wins supply — hard-to-fill roles, citizen/GC target profiles, competitive metros.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Vendors withhold in stronghold domains, where they compete on fill speed and depth rather than on price legibility.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Setting lives on Requirement and is inherited by the resulting Assignment. Company default is configurable and overridable per requirement.</w:t>
      </w:r>
    </w:p>
    <w:p>
      <w:pPr>
        <w:spacing w:after="200"/>
      </w:pPr>
      <w:r>
        <w:t xml:space="preserve"/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Rationale: an all-or-nothing company flag forces a choice most owners resolve as 'off', and the mechanism dies unused. Per-requirement control makes disclosure a supply-acquisition tool the vendor deploys deliberately, rather than a concession extracted from them.</w:t>
      </w:r>
    </w:p>
    <w:p>
      <w:pPr>
        <w:spacing w:after="200"/>
      </w:pPr>
      <w:r>
        <w:t xml:space="preserve"/>
      </w:r>
    </w:p>
    <w:p>
      <w:pPr>
        <w:spacing w:after="120" w:before="280"/>
      </w:pPr>
      <w:r>
        <w:rPr>
          <w:b/>
          <w:bCs/>
          <w:color w:val="14181D"/>
          <w:sz w:val="22"/>
          <w:szCs w:val="22"/>
        </w:rPr>
        <w:t xml:space="preserve">D.3.3  Trust without disclosure</w:t>
      </w:r>
    </w:p>
    <w:p>
      <w:pPr>
        <w:spacing w:after="150" w:line="300"/>
      </w:pPr>
      <w:r>
        <w:rPr>
          <w:b/>
          <w:bCs/>
          <w:color w:val="14181D"/>
          <w:sz w:val="20"/>
          <w:szCs w:val="20"/>
        </w:rPr>
        <w:t xml:space="preserve">Selective disclosure can read as less trustworthy than none. Disclosure is therefore not the trust signal.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Where a vendor does not disclose markup, trust is carried by mechanisms that cost the vendor nothing commercially: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Rate progression — the consultant's own pay rate across assignments over time, visible to them without exposing bill rate or margin.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Bench pay honoured — recorded instances of paid bench, a direct signal of how the vendor behaves when revenue stops.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Median tenure of consultants at the vendor, and time-to-next-placement after rolloff.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Verified record issuance (D.3.6) — whether the vendor attests work history the consultant can take elsewhere.</w:t>
      </w:r>
    </w:p>
    <w:p>
      <w:pPr>
        <w:spacing w:after="200"/>
      </w:pPr>
      <w:r>
        <w:t xml:space="preserve"/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Disclosure rate may be surfaced as an optional vendor badge. It is never required, and never displayed as an absence.</w:t>
      </w:r>
    </w:p>
    <w:p>
      <w:pPr>
        <w:spacing w:after="200"/>
      </w:pPr>
      <w:r>
        <w:t xml:space="preserve"/>
      </w:r>
    </w:p>
    <w:p>
      <w:pPr>
        <w:spacing w:after="120" w:before="280"/>
      </w:pPr>
      <w:r>
        <w:rPr>
          <w:b/>
          <w:bCs/>
          <w:color w:val="14181D"/>
          <w:sz w:val="22"/>
          <w:szCs w:val="22"/>
        </w:rPr>
        <w:t xml:space="preserve">D.3.4  Skill upgrade with real stakes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Extends §7 (Training) from an acquisition funnel to a retention instrument. The candidate population changes from freshers entering the market to mid-career consultants with obsolescence risk.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TrainingProgram gains audience: acquisition | retention | transition.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Retention programs are offered to placed and benched consultants, not only to trainees.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Learning path targets AI-era role migration for consultants with tenure in a declining stack.</w:t>
      </w:r>
    </w:p>
    <w:p>
      <w:pPr>
        <w:spacing w:after="200"/>
      </w:pPr>
      <w:r>
        <w:t xml:space="preserve"/>
      </w:r>
    </w:p>
    <w:p>
      <w:pPr>
        <w:spacing w:after="120" w:before="280"/>
      </w:pPr>
      <w:r>
        <w:rPr>
          <w:b/>
          <w:bCs/>
          <w:color w:val="14181D"/>
          <w:sz w:val="22"/>
          <w:szCs w:val="22"/>
        </w:rPr>
        <w:t xml:space="preserve">D.3.5  Bench as investment, not obligation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Under the H1B model, paid bench was a grudging DOL obligation (§10.4, bench_paid). Under the citizen/GC model it becomes an advertised benefit.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Assignment type bench_developing: paid bench with an attached TrainingEnrollment.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Bench burn dashboard (§6) distinguishes idle burn from developing burn — the same cost, a different business meaning.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Vendor metric: proportion of bench days attached to a learning path.</w:t>
      </w:r>
    </w:p>
    <w:p>
      <w:pPr>
        <w:spacing w:after="200"/>
      </w:pPr>
      <w:r>
        <w:t xml:space="preserve"/>
      </w:r>
    </w:p>
    <w:p>
      <w:pPr>
        <w:spacing w:after="120" w:before="280"/>
      </w:pPr>
      <w:r>
        <w:rPr>
          <w:b/>
          <w:bCs/>
          <w:color w:val="14181D"/>
          <w:sz w:val="22"/>
          <w:szCs w:val="22"/>
        </w:rPr>
        <w:t xml:space="preserve">D.3.6  A portable, verified record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Counterintuitive and load-bearing: retention improves when leaving is made easy, because portability signals confidence rather than capture.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Verified work history — assignments, duration, client type, skills applied, attested by the vendor.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Consultant-owned and exportable, independent of continued engagement with the vendor.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This is the artifact that makes the consultant surface (D.4) worth returning to after a placement ends.</w:t>
      </w:r>
    </w:p>
    <w:p>
      <w:pPr>
        <w:spacing w:after="200"/>
      </w:pPr>
      <w:r>
        <w:t xml:space="preserve"/>
      </w:r>
    </w:p>
    <w:p>
      <w:pPr>
        <w:spacing w:after="120" w:before="280"/>
      </w:pPr>
      <w:r>
        <w:rPr>
          <w:b/>
          <w:bCs/>
          <w:color w:val="14181D"/>
          <w:sz w:val="22"/>
          <w:szCs w:val="22"/>
        </w:rPr>
        <w:t xml:space="preserve">D.3.7  A recruiter who knows them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Direct implementation of the platform thesis stated at §1.1 — recruiters as human capital developers rather than resume intermediaries. A consultant with options will not accept a rotating cast of sourcers.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Persistent recruiter-of-record on the consultant profile, surfaced to the consultant by name.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Recruiter performance metrics already include coaching completions (§20); D.7 extends these to retention outcomes.</w:t>
      </w:r>
    </w:p>
    <w:p>
      <w:pPr>
        <w:spacing w:after="200"/>
      </w:pPr>
      <w:r>
        <w:t xml:space="preserve"/>
      </w:r>
    </w:p>
    <w:p>
      <w:pPr>
        <w:spacing w:after="160" w:before="400"/>
      </w:pPr>
      <w:r>
        <w:rPr>
          <w:b/>
          <w:bCs/>
          <w:color w:val="14181D"/>
          <w:sz w:val="26"/>
          <w:szCs w:val="26"/>
        </w:rPr>
        <w:t xml:space="preserve">D.4  NEW SURFACE: THE CONSULTANT-SIDE APPLICATION</w:t>
      </w:r>
    </w:p>
    <w:p>
      <w:pPr>
        <w:spacing w:after="150" w:line="300"/>
      </w:pPr>
      <w:r>
        <w:rPr>
          <w:b/>
          <w:bCs/>
          <w:color w:val="14181D"/>
          <w:sz w:val="20"/>
          <w:szCs w:val="20"/>
        </w:rPr>
        <w:t xml:space="preserve">Gap identified: v3.7 contains no product built for the consultant.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Every surface specified in the baseline serves the vendor, the client, or the platform operator. The consultant exists as a record — a profile, a pipeline stage, a compliance object. This is sufficient for a captive supply pool and insufficient for a pool with alternatives.</w:t>
      </w:r>
    </w:p>
    <w:p>
      <w:pPr>
        <w:spacing w:after="200"/>
      </w:pPr>
      <w:r>
        <w:t xml:space="preserve"/>
      </w:r>
    </w:p>
    <w:tbl>
      <w:tblPr>
        <w:tblW w:type="dxa" w:w="9000"/>
        <w:tblBorders>
          <w:top w:val="single" w:color="D8D5CE" w:sz="2"/>
          <w:left w:val="single" w:color="D8D5CE" w:sz="2"/>
          <w:bottom w:val="single" w:color="D8D5CE" w:sz="2"/>
          <w:right w:val="single" w:color="D8D5CE" w:sz="2"/>
          <w:insideH w:val="single" w:color="D8D5CE" w:sz="2"/>
          <w:insideV w:val="single" w:color="D8D5CE" w:sz="2"/>
        </w:tblBorders>
      </w:tblPr>
      <w:tblGrid>
        <w:gridCol w:w="1900"/>
        <w:gridCol w:w="3550"/>
        <w:gridCol w:w="3550"/>
      </w:tblGrid>
      <w:tr>
        <w:trPr>
          <w:tblHeader/>
        </w:trPr>
        <w:tc>
          <w:tcPr>
            <w:tcW w:type="dxa" w:w="190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>Surface</w:t>
            </w:r>
          </w:p>
        </w:tc>
        <w:tc>
          <w:tcPr>
            <w:tcW w:type="dxa" w:w="355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>v3.7 baseline</w:t>
            </w:r>
          </w:p>
        </w:tc>
        <w:tc>
          <w:tcPr>
            <w:tcW w:type="dxa" w:w="355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>Addendum D</w:t>
            </w:r>
          </w:p>
        </w:tc>
      </w:tr>
      <w:tr>
        <w:tc>
          <w:tcPr>
            <w:tcW w:type="dxa" w:w="19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Candidate profile</w:t>
            </w:r>
          </w:p>
        </w:tc>
        <w:tc>
          <w:tcPr>
            <w:tcW w:type="dxa" w:w="35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Vendor-maintained record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Compliance and matching object</w:t>
            </w:r>
          </w:p>
        </w:tc>
        <w:tc>
          <w:tcPr>
            <w:tcW w:type="dxa" w:w="35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Consultant-maintained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Consultant-owned verified history</w:t>
            </w:r>
          </w:p>
        </w:tc>
      </w:tr>
      <w:tr>
        <w:tc>
          <w:tcPr>
            <w:tcW w:type="dxa" w:w="19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Training</w:t>
            </w:r>
          </w:p>
        </w:tc>
        <w:tc>
          <w:tcPr>
            <w:tcW w:type="dxa" w:w="35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Enrollment via vendor public site</w:t>
            </w:r>
          </w:p>
        </w:tc>
        <w:tc>
          <w:tcPr>
            <w:tcW w:type="dxa" w:w="35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Learning path with progression visible to the consultant</w:t>
            </w:r>
          </w:p>
        </w:tc>
      </w:tr>
      <w:tr>
        <w:tc>
          <w:tcPr>
            <w:tcW w:type="dxa" w:w="19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Rate</w:t>
            </w:r>
          </w:p>
        </w:tc>
        <w:tc>
          <w:tcPr>
            <w:tcW w:type="dxa" w:w="35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Internal to vendor</w:t>
            </w:r>
          </w:p>
        </w:tc>
        <w:tc>
          <w:tcPr>
            <w:tcW w:type="dxa" w:w="35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Visible where vendor elects disclosure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Progression band shown</w:t>
            </w:r>
          </w:p>
        </w:tc>
      </w:tr>
      <w:tr>
        <w:tc>
          <w:tcPr>
            <w:tcW w:type="dxa" w:w="19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Bench</w:t>
            </w:r>
          </w:p>
        </w:tc>
        <w:tc>
          <w:tcPr>
            <w:tcW w:type="dxa" w:w="35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Vendor cost line</w:t>
            </w:r>
          </w:p>
        </w:tc>
        <w:tc>
          <w:tcPr>
            <w:tcW w:type="dxa" w:w="35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Development period with attached program</w:t>
            </w:r>
          </w:p>
        </w:tc>
      </w:tr>
      <w:tr>
        <w:tc>
          <w:tcPr>
            <w:tcW w:type="dxa" w:w="19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35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Recruiter-owned record</w:t>
            </w:r>
          </w:p>
        </w:tc>
        <w:tc>
          <w:tcPr>
            <w:tcW w:type="dxa" w:w="355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Named recruiter, visible to the consultant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Scope discipline: this is not a job board and not a second marketplace. It is a career record for consultants already engaged with a vendor on the platform. Public discovery remains the vendor site (§18).</w:t>
      </w:r>
    </w:p>
    <w:p>
      <w:pPr>
        <w:spacing w:after="200"/>
      </w:pPr>
      <w:r>
        <w:t xml:space="preserve"/>
      </w:r>
    </w:p>
    <w:p>
      <w:pPr>
        <w:spacing w:after="160" w:before="400"/>
      </w:pPr>
      <w:r>
        <w:rPr>
          <w:b/>
          <w:bCs/>
          <w:color w:val="14181D"/>
          <w:sz w:val="26"/>
          <w:szCs w:val="26"/>
        </w:rPr>
        <w:t xml:space="preserve">D.5  DATA MODEL EXTENSIONS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Additive only. No baseline field is altered.</w:t>
      </w:r>
    </w:p>
    <w:p>
      <w:pPr>
        <w:spacing w:after="200"/>
      </w:pPr>
      <w:r>
        <w:t xml:space="preserve"/>
      </w:r>
    </w:p>
    <w:tbl>
      <w:tblPr>
        <w:tblW w:type="dxa" w:w="9000"/>
        <w:tblBorders>
          <w:top w:val="single" w:color="D8D5CE" w:sz="2"/>
          <w:left w:val="single" w:color="D8D5CE" w:sz="2"/>
          <w:bottom w:val="single" w:color="D8D5CE" w:sz="2"/>
          <w:right w:val="single" w:color="D8D5CE" w:sz="2"/>
          <w:insideH w:val="single" w:color="D8D5CE" w:sz="2"/>
          <w:insideV w:val="single" w:color="D8D5CE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>Entity</w:t>
            </w:r>
          </w:p>
        </w:tc>
        <w:tc>
          <w:tcPr>
            <w:tcW w:type="dxa" w:w="660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>Extension</w:t>
            </w:r>
          </w:p>
        </w:tc>
      </w:tr>
      <w:tr>
        <w:tc>
          <w:tcPr>
            <w:tcW w:type="dxa" w:w="24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Candidate (§5.3)</w:t>
            </w:r>
          </w:p>
        </w:tc>
        <w:tc>
          <w:tcPr>
            <w:tcW w:type="dxa" w:w="66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authorization_track: sponsored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independent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transitioning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portability_consent (boolean)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recruiter_of_record_id</w:t>
            </w:r>
          </w:p>
        </w:tc>
      </w:tr>
      <w:tr>
        <w:tc>
          <w:tcPr>
            <w:tcW w:type="dxa" w:w="24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Assignment (§10.4)</w:t>
            </w:r>
          </w:p>
        </w:tc>
        <w:tc>
          <w:tcPr>
            <w:tcW w:type="dxa" w:w="66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bench_developing added to type enum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training_enrollment_id (nullable)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rate_visible_to_consultant (boolean, inherited from Requirement)</w:t>
            </w:r>
          </w:p>
        </w:tc>
      </w:tr>
      <w:tr>
        <w:tc>
          <w:tcPr>
            <w:tcW w:type="dxa" w:w="24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TrainingProgram (§7.3)</w:t>
            </w:r>
          </w:p>
        </w:tc>
        <w:tc>
          <w:tcPr>
            <w:tcW w:type="dxa" w:w="66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audience: acquisition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retention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transition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target_authorization (nullable)</w:t>
            </w:r>
          </w:p>
        </w:tc>
      </w:tr>
      <w:tr>
        <w:tc>
          <w:tcPr>
            <w:tcW w:type="dxa" w:w="24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Requirement (S8)</w:t>
            </w:r>
          </w:p>
        </w:tc>
        <w:tc>
          <w:tcPr>
            <w:tcW w:type="dxa" w:w="66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rate_visible_to_consultant (boolean, overrides company default)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margin_class: arbitrage or expertise</w:t>
            </w:r>
          </w:p>
        </w:tc>
      </w:tr>
      <w:tr>
        <w:tc>
          <w:tcPr>
            <w:tcW w:type="dxa" w:w="24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Company</w:t>
            </w:r>
          </w:p>
        </w:tc>
        <w:tc>
          <w:tcPr>
            <w:tcW w:type="dxa" w:w="66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rate_transparency_default (boolean)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published_margin_band (nullable)</w:t>
            </w:r>
          </w:p>
        </w:tc>
      </w:tr>
      <w:tr>
        <w:tc>
          <w:tcPr>
            <w:tcW w:type="dxa" w:w="24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VerifiedRecord (new)</w:t>
            </w:r>
          </w:p>
        </w:tc>
        <w:tc>
          <w:tcPr>
            <w:tcW w:type="dxa" w:w="66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candidate_id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assignment_id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skills_applied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duration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client_sector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vendor_attestation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issued_at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export_token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400"/>
      </w:pPr>
      <w:r>
        <w:rPr>
          <w:b/>
          <w:bCs/>
          <w:color w:val="14181D"/>
          <w:sz w:val="26"/>
          <w:szCs w:val="26"/>
        </w:rPr>
        <w:t xml:space="preserve">D.6  THE COMMERCIAL FILTER</w:t>
      </w:r>
    </w:p>
    <w:p>
      <w:pPr>
        <w:spacing w:after="150" w:line="300"/>
      </w:pPr>
      <w:r>
        <w:rPr>
          <w:b/>
          <w:bCs/>
          <w:color w:val="14181D"/>
          <w:sz w:val="20"/>
          <w:szCs w:val="20"/>
        </w:rPr>
        <w:t xml:space="preserve">Most firms will not adopt rate transparency, because opacity is the margin.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This is stated plainly because it determines the addressable market rather than merely the feature set. Asking a mid-tier firm to disclose its markup is asking it to surrender the mechanism it has optimised around for two decades.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The consequence is a narrower and better-qualified customer definition:</w:t>
      </w:r>
    </w:p>
    <w:p>
      <w:pPr>
        <w:spacing w:after="200"/>
      </w:pPr>
      <w:r>
        <w:t xml:space="preserve"/>
      </w:r>
    </w:p>
    <w:tbl>
      <w:tblPr>
        <w:tblW w:type="dxa" w:w="9000"/>
        <w:tblBorders>
          <w:top w:val="single" w:color="D8D5CE" w:sz="2"/>
          <w:left w:val="single" w:color="D8D5CE" w:sz="2"/>
          <w:bottom w:val="single" w:color="D8D5CE" w:sz="2"/>
          <w:right w:val="single" w:color="D8D5CE" w:sz="2"/>
          <w:insideH w:val="single" w:color="D8D5CE" w:sz="2"/>
          <w:insideV w:val="single" w:color="D8D5CE" w:sz="2"/>
        </w:tblBorders>
      </w:tblPr>
      <w:tblGrid>
        <w:gridCol w:w="2500"/>
        <w:gridCol w:w="3300"/>
        <w:gridCol w:w="3200"/>
      </w:tblGrid>
      <w:tr>
        <w:trPr>
          <w:tblHeader/>
        </w:trPr>
        <w:tc>
          <w:tcPr>
            <w:tcW w:type="dxa" w:w="250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>Segment</w:t>
            </w:r>
          </w:p>
        </w:tc>
        <w:tc>
          <w:tcPr>
            <w:tcW w:type="dxa" w:w="330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>Signal</w:t>
            </w:r>
          </w:p>
        </w:tc>
        <w:tc>
          <w:tcPr>
            <w:tcW w:type="dxa" w:w="320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5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100% H1B/OPT supply, no transition underway</w:t>
            </w:r>
          </w:p>
        </w:tc>
        <w:tc>
          <w:tcPr>
            <w:tcW w:type="dxa" w:w="33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Has not decided to change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Sees transparency as margin loss</w:t>
            </w:r>
          </w:p>
        </w:tc>
        <w:tc>
          <w:tcPr>
            <w:tcW w:type="dxa" w:w="32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Not a Phase 1–2 customer. Selling a decision they have not made.</w:t>
            </w:r>
          </w:p>
        </w:tc>
      </w:tr>
      <w:tr>
        <w:tc>
          <w:tcPr>
            <w:tcW w:type="dxa" w:w="25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Placing citizens/GC at any volume, however small</w:t>
            </w:r>
          </w:p>
        </w:tc>
        <w:tc>
          <w:tcPr>
            <w:tcW w:type="dxa" w:w="33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Transition already begun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Already experiencing the retention gap</w:t>
            </w:r>
          </w:p>
        </w:tc>
        <w:tc>
          <w:tcPr>
            <w:tcW w:type="dxa" w:w="32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Target. The pain is present and quantifiable.</w:t>
            </w:r>
          </w:p>
        </w:tc>
      </w:tr>
      <w:tr>
        <w:tc>
          <w:tcPr>
            <w:tcW w:type="dxa" w:w="25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Direct client relationships, moving off tier-three</w:t>
            </w:r>
          </w:p>
        </w:tc>
        <w:tc>
          <w:tcPr>
            <w:tcW w:type="dxa" w:w="33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Margin no longer depends on opacity</w:t>
            </w:r>
          </w:p>
        </w:tc>
        <w:tc>
          <w:tcPr>
            <w:tcW w:type="dxa" w:w="32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Strongest fit. Survives consolidation.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50" w:line="300"/>
      </w:pPr>
      <w:r>
        <w:rPr>
          <w:b/>
          <w:bCs/>
          <w:color w:val="14181D"/>
          <w:sz w:val="20"/>
          <w:szCs w:val="20"/>
        </w:rPr>
        <w:t xml:space="preserve">Firms that cannot make this transition were unlikely to become customers under the baseline model either. The filter costs nothing that was reachable.</w:t>
      </w:r>
    </w:p>
    <w:p>
      <w:pPr>
        <w:spacing w:after="200"/>
      </w:pPr>
      <w:r>
        <w:t xml:space="preserve"/>
      </w:r>
    </w:p>
    <w:p>
      <w:pPr>
        <w:spacing w:after="160" w:before="400"/>
      </w:pPr>
      <w:r>
        <w:rPr>
          <w:b/>
          <w:bCs/>
          <w:color w:val="14181D"/>
          <w:sz w:val="26"/>
          <w:szCs w:val="26"/>
        </w:rPr>
        <w:t xml:space="preserve">D.7  QUALIFICATION AND MEASUREMENT</w:t>
      </w:r>
    </w:p>
    <w:p>
      <w:pPr>
        <w:spacing w:after="120" w:before="280"/>
      </w:pPr>
      <w:r>
        <w:rPr>
          <w:b/>
          <w:bCs/>
          <w:color w:val="14181D"/>
          <w:sz w:val="22"/>
          <w:szCs w:val="22"/>
        </w:rPr>
        <w:t xml:space="preserve">D.7.1  Discovery questions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Replaces generic pain discovery in the vendor sales motion (§27 GTM).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Submissions per placement last year, and this year. A doubling identifies the pain and confirms the buyer feels it.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Number of citizen or GC consultants currently placed. Zero indicates a transition not yet begun.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Attrition rate among non-sponsored consultants against sponsored. The delta is the retention gap, in the vendor's own numbers.</w:t>
      </w:r>
    </w:p>
    <w:p>
      <w:pPr>
        <w:spacing w:after="200"/>
      </w:pPr>
      <w:r>
        <w:t xml:space="preserve"/>
      </w:r>
    </w:p>
    <w:p>
      <w:pPr>
        <w:spacing w:after="120" w:before="280"/>
      </w:pPr>
      <w:r>
        <w:rPr>
          <w:b/>
          <w:bCs/>
          <w:color w:val="14181D"/>
          <w:sz w:val="22"/>
          <w:szCs w:val="22"/>
        </w:rPr>
        <w:t xml:space="preserve">D.7.2  Metrics added to the vendor dashboard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Authorization mix — sponsored against independent, trended.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Retention delta — tenure of independent consultants against sponsored.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Development coverage — proportion of bench days attached to a learning path.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Transparency adoption — whether rate visibility is enabled, shown against retention outcome.</w:t>
      </w:r>
    </w:p>
    <w:p>
      <w:pPr>
        <w:spacing w:after="200"/>
      </w:pPr>
      <w:r>
        <w:t xml:space="preserve"/>
      </w:r>
    </w:p>
    <w:p>
      <w:pPr>
        <w:spacing w:after="160" w:before="400"/>
      </w:pPr>
      <w:r>
        <w:rPr>
          <w:b/>
          <w:bCs/>
          <w:color w:val="14181D"/>
          <w:sz w:val="26"/>
          <w:szCs w:val="26"/>
        </w:rPr>
        <w:t xml:space="preserve">D.8  SECTIONS EXTENDED</w:t>
      </w:r>
    </w:p>
    <w:tbl>
      <w:tblPr>
        <w:tblW w:type="dxa" w:w="9000"/>
        <w:tblBorders>
          <w:top w:val="single" w:color="D8D5CE" w:sz="2"/>
          <w:left w:val="single" w:color="D8D5CE" w:sz="2"/>
          <w:bottom w:val="single" w:color="D8D5CE" w:sz="2"/>
          <w:right w:val="single" w:color="D8D5CE" w:sz="2"/>
          <w:insideH w:val="single" w:color="D8D5CE" w:sz="2"/>
          <w:insideV w:val="single" w:color="D8D5CE" w:sz="2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>Section</w:t>
            </w:r>
          </w:p>
        </w:tc>
        <w:tc>
          <w:tcPr>
            <w:tcW w:type="dxa" w:w="6300"/>
            <w:shd w:fill="F0EEE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4181D"/>
                <w:sz w:val="18"/>
                <w:szCs w:val="18"/>
              </w:rPr>
              <w:t xml:space="preserve">Extension</w:t>
            </w:r>
          </w:p>
        </w:tc>
      </w:tr>
      <w:tr>
        <w:tc>
          <w:tcPr>
            <w:tcW w:type="dxa" w:w="27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§5.3 Work Authorization &amp; Compliance</w:t>
            </w:r>
          </w:p>
        </w:tc>
        <w:tc>
          <w:tcPr>
            <w:tcW w:type="dxa" w:w="63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authorization_track and portability_consent added. Visa enum unchanged.</w:t>
            </w:r>
          </w:p>
        </w:tc>
      </w:tr>
      <w:tr>
        <w:tc>
          <w:tcPr>
            <w:tcW w:type="dxa" w:w="27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§6 Bench</w:t>
            </w:r>
          </w:p>
        </w:tc>
        <w:tc>
          <w:tcPr>
            <w:tcW w:type="dxa" w:w="63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bench_developing distinguished from idle burn in the burn dashboard.</w:t>
            </w:r>
          </w:p>
        </w:tc>
      </w:tr>
      <w:tr>
        <w:tc>
          <w:tcPr>
            <w:tcW w:type="dxa" w:w="27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§7 Training</w:t>
            </w:r>
          </w:p>
        </w:tc>
        <w:tc>
          <w:tcPr>
            <w:tcW w:type="dxa" w:w="63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audience dimension; training extended from acquisition to retention and transition.</w:t>
            </w:r>
          </w:p>
        </w:tc>
      </w:tr>
      <w:tr>
        <w:tc>
          <w:tcPr>
            <w:tcW w:type="dxa" w:w="27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§10.4 Assignment</w:t>
            </w:r>
          </w:p>
        </w:tc>
        <w:tc>
          <w:tcPr>
            <w:tcW w:type="dxa" w:w="63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bench_developing type; consultant rate visibility flag.</w:t>
            </w:r>
          </w:p>
        </w:tc>
      </w:tr>
      <w:tr>
        <w:tc>
          <w:tcPr>
            <w:tcW w:type="dxa" w:w="27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§15 Compliance Gates</w:t>
            </w:r>
          </w:p>
        </w:tc>
        <w:tc>
          <w:tcPr>
            <w:tcW w:type="dxa" w:w="63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Unchanged. Noted only: transition does not reduce compliance surface, it changes its composition.</w:t>
            </w:r>
          </w:p>
        </w:tc>
      </w:tr>
      <w:tr>
        <w:tc>
          <w:tcPr>
            <w:tcW w:type="dxa" w:w="27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§20 Analytics</w:t>
            </w:r>
          </w:p>
        </w:tc>
        <w:tc>
          <w:tcPr>
            <w:tcW w:type="dxa" w:w="63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Authorization mix, retention delta, development coverage, transparency adoption.</w:t>
            </w:r>
          </w:p>
        </w:tc>
      </w:tr>
      <w:tr>
        <w:tc>
          <w:tcPr>
            <w:tcW w:type="dxa" w:w="27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§27 Phase Plan</w:t>
            </w:r>
          </w:p>
        </w:tc>
        <w:tc>
          <w:tcPr>
            <w:tcW w:type="dxa" w:w="630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C3238"/>
                <w:sz w:val="19"/>
                <w:szCs w:val="19"/>
              </w:rPr>
              <w:t xml:space="preserve">Consultant surface and VerifiedRecord enter Phase 2. No change to the Phase 1–2 before Phase 4 sequencing rule.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400"/>
      </w:pPr>
      <w:r>
        <w:rPr>
          <w:b/>
          <w:bCs/>
          <w:color w:val="14181D"/>
          <w:sz w:val="26"/>
          <w:szCs w:val="26"/>
        </w:rPr>
        <w:t xml:space="preserve">D.9  OPEN QUESTIONS FOR RATIFICATION</w:t>
      </w:r>
    </w:p>
    <w:p>
      <w:pPr>
        <w:spacing w:after="130" w:line="300"/>
      </w:pPr>
      <w:r>
        <w:rPr>
          <w:b w:val="false"/>
          <w:bCs w:val="false"/>
          <w:i w:val="false"/>
          <w:iCs w:val="false"/>
          <w:color w:val="2C3238"/>
          <w:sz w:val="20"/>
          <w:szCs w:val="20"/>
        </w:rPr>
        <w:t xml:space="preserve">This addendum is proposed, not ratified. Four decisions remain with the founder: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Ratified: rate visibility is a per-requirement vendor setting, not a condition of membership. Remaining question — should margin_class be vendor-declared, or inferred by the platform from fill time and domain concentration?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Does the consultant surface ship in Phase 2, or is a read-only verified record sufficient until Phase 3?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Does VerifiedRecord remain vendor-attested, or move toward third-party or client attestation? Vendor attestation is buildable now and worth less to the consultant.</w:t>
      </w:r>
    </w:p>
    <w:p>
      <w:pPr>
        <w:spacing w:after="90" w:line="290"/>
        <w:ind w:left="360"/>
      </w:pPr>
      <w:r>
        <w:rPr>
          <w:color w:val="6B7280"/>
          <w:sz w:val="20"/>
          <w:szCs w:val="20"/>
        </w:rPr>
        <w:t xml:space="preserve">•   </w:t>
      </w:r>
      <w:r>
        <w:rPr>
          <w:color w:val="2C3238"/>
          <w:sz w:val="20"/>
          <w:szCs w:val="20"/>
        </w:rPr>
        <w:t xml:space="preserve">Should the Phase 1 beachhead (§1.3) be restated in terms of authorization transition rather than firm size, given that transition status predicts fit better than headcount?</w:t>
      </w:r>
    </w:p>
    <w:p>
      <w:pPr>
        <w:spacing w:after="200"/>
      </w:pPr>
      <w:r>
        <w:t xml:space="preserve"/>
      </w:r>
    </w:p>
    <w:p>
      <w:pPr>
        <w:spacing w:after="130" w:line="30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Recorded against Master BRD v3.7 — Frozen Baseline. On ratification, increment to v3.8 or consolidate at the next major revision.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Etyme BRD Addendum D — Work Authorization Transition</dc:title>
  <dc:creator>Etyme</dc:creator>
  <cp:lastModifiedBy>Un-named</cp:lastModifiedBy>
  <cp:revision>1</cp:revision>
  <dcterms:created xsi:type="dcterms:W3CDTF">2026-08-02T16:05:55.560Z</dcterms:created>
  <dcterms:modified xsi:type="dcterms:W3CDTF">2026-08-02T16:05:55.573Z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