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CB41D" w14:textId="744F30D8" w:rsidR="001343E6" w:rsidRPr="00ED534D" w:rsidRDefault="00D848FA" w:rsidP="005E38D2">
      <w:pPr>
        <w:pStyle w:val="Title"/>
        <w:jc w:val="center"/>
        <w:rPr>
          <w:sz w:val="22"/>
          <w:szCs w:val="22"/>
        </w:rPr>
      </w:pPr>
      <w:bookmarkStart w:id="0" w:name="_Hlk49375109"/>
      <w:bookmarkStart w:id="1" w:name="_Hlk53694874"/>
      <w:bookmarkEnd w:id="1"/>
      <w:r w:rsidRPr="00ED534D">
        <w:rPr>
          <w:sz w:val="22"/>
          <w:szCs w:val="22"/>
        </w:rPr>
        <w:t>Indicator Evaluation</w:t>
      </w:r>
      <w:r w:rsidR="00A82AFB" w:rsidRPr="00ED534D">
        <w:rPr>
          <w:sz w:val="22"/>
          <w:szCs w:val="22"/>
        </w:rPr>
        <w:t xml:space="preserve"> Report</w:t>
      </w:r>
    </w:p>
    <w:p w14:paraId="3046A7C2" w14:textId="77777777" w:rsidR="00387713" w:rsidRPr="00ED534D" w:rsidRDefault="00387713" w:rsidP="005E38D2">
      <w:pPr>
        <w:pStyle w:val="Subtitle"/>
        <w:numPr>
          <w:ilvl w:val="0"/>
          <w:numId w:val="0"/>
        </w:numPr>
        <w:contextualSpacing/>
      </w:pPr>
      <w:r w:rsidRPr="00ED534D">
        <w:t>Shrikanth Mahale</w:t>
      </w:r>
    </w:p>
    <w:p w14:paraId="51273036" w14:textId="2730CDF8" w:rsidR="001563FC" w:rsidRPr="00ED534D" w:rsidRDefault="00793CFF" w:rsidP="005E38D2">
      <w:pPr>
        <w:pStyle w:val="Subtitle"/>
        <w:numPr>
          <w:ilvl w:val="0"/>
          <w:numId w:val="0"/>
        </w:numPr>
        <w:contextualSpacing/>
      </w:pPr>
      <w:hyperlink r:id="rId8" w:history="1">
        <w:r w:rsidR="00387713" w:rsidRPr="00ED534D">
          <w:t>Smahale6@gatech.edu</w:t>
        </w:r>
      </w:hyperlink>
    </w:p>
    <w:p w14:paraId="5B51DA84" w14:textId="6AD7B48B" w:rsidR="00235F53" w:rsidRPr="00ED534D" w:rsidRDefault="001563FC" w:rsidP="00D848FA">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ED534D">
        <w:t xml:space="preserve"> </w:t>
      </w:r>
      <w:r w:rsidRPr="00ED534D">
        <w:rPr>
          <w:b/>
          <w:bCs/>
        </w:rPr>
        <w:t>Abstract—</w:t>
      </w:r>
      <w:r w:rsidR="00D848FA" w:rsidRPr="00ED534D">
        <w:rPr>
          <w:b/>
          <w:bCs/>
        </w:rPr>
        <w:t>Indicator illustration and Optimal Strategy for stock trading</w:t>
      </w:r>
    </w:p>
    <w:p w14:paraId="2E5C992F" w14:textId="23F82C34" w:rsidR="007F1E3D" w:rsidRPr="00ED534D" w:rsidRDefault="00815D46" w:rsidP="00815D46">
      <w:pPr>
        <w:pStyle w:val="ListParagraph"/>
        <w:spacing w:after="0" w:line="340" w:lineRule="exact"/>
        <w:ind w:left="0"/>
        <w:contextualSpacing w:val="0"/>
        <w:jc w:val="both"/>
        <w:rPr>
          <w:rFonts w:ascii="Palatino Linotype" w:eastAsia="Times New Roman" w:hAnsi="Palatino Linotype" w:cs="Times New Roman"/>
          <w:b/>
          <w:bCs/>
          <w:spacing w:val="2"/>
          <w:kern w:val="16"/>
          <w:u w:val="single"/>
          <w14:ligatures w14:val="standardContextual"/>
          <w14:numForm w14:val="oldStyle"/>
          <w14:numSpacing w14:val="proportional"/>
        </w:rPr>
      </w:pPr>
      <w:r w:rsidRPr="00ED534D">
        <w:rPr>
          <w:rFonts w:ascii="Palatino Linotype" w:eastAsia="Times New Roman" w:hAnsi="Palatino Linotype" w:cs="Times New Roman"/>
          <w:b/>
          <w:bCs/>
          <w:spacing w:val="2"/>
          <w:kern w:val="16"/>
          <w:u w:val="single"/>
          <w14:ligatures w14:val="standardContextual"/>
          <w14:numForm w14:val="oldStyle"/>
          <w14:numSpacing w14:val="proportional"/>
        </w:rPr>
        <w:t>Question</w:t>
      </w:r>
      <w:r w:rsidR="001563FC" w:rsidRPr="00ED534D">
        <w:rPr>
          <w:rFonts w:ascii="Palatino Linotype" w:eastAsia="Times New Roman" w:hAnsi="Palatino Linotype" w:cs="Times New Roman"/>
          <w:b/>
          <w:bCs/>
          <w:spacing w:val="2"/>
          <w:kern w:val="16"/>
          <w:u w:val="single"/>
          <w14:ligatures w14:val="standardContextual"/>
          <w14:numForm w14:val="oldStyle"/>
          <w14:numSpacing w14:val="proportional"/>
        </w:rPr>
        <w:t xml:space="preserve"> 1: </w:t>
      </w:r>
      <w:r w:rsidR="00D848FA" w:rsidRPr="00ED534D">
        <w:rPr>
          <w:rFonts w:ascii="Palatino Linotype" w:eastAsia="Times New Roman" w:hAnsi="Palatino Linotype" w:cs="Times New Roman"/>
          <w:b/>
          <w:bCs/>
          <w:spacing w:val="2"/>
          <w:kern w:val="16"/>
          <w:u w:val="single"/>
          <w14:ligatures w14:val="standardContextual"/>
          <w14:numForm w14:val="oldStyle"/>
          <w14:numSpacing w14:val="proportional"/>
        </w:rPr>
        <w:t>Indicator Illustration</w:t>
      </w:r>
      <w:bookmarkEnd w:id="0"/>
    </w:p>
    <w:p w14:paraId="316D6BAE" w14:textId="123E468D" w:rsidR="007F1E3D" w:rsidRPr="00ED534D" w:rsidRDefault="00E415C7" w:rsidP="007F1E3D">
      <w:pPr>
        <w:spacing w:after="0" w:line="240" w:lineRule="auto"/>
        <w:textAlignment w:val="baseline"/>
        <w:rPr>
          <w:rFonts w:ascii="Palatino Linotype" w:hAnsi="Palatino Linotype"/>
          <w:b/>
          <w:bCs/>
        </w:rPr>
      </w:pPr>
      <w:r w:rsidRPr="00ED534D">
        <w:rPr>
          <w:rFonts w:ascii="Palatino Linotype" w:hAnsi="Palatino Linotype"/>
          <w:b/>
          <w:bCs/>
        </w:rPr>
        <w:t>Answer:</w:t>
      </w:r>
    </w:p>
    <w:p w14:paraId="7A25543A" w14:textId="7CC8874A" w:rsidR="00AD7B27" w:rsidRPr="00ED534D" w:rsidRDefault="00AD7B27" w:rsidP="007F1E3D">
      <w:pPr>
        <w:spacing w:after="0" w:line="240" w:lineRule="auto"/>
        <w:textAlignment w:val="baseline"/>
        <w:rPr>
          <w:rFonts w:ascii="Palatino Linotype" w:hAnsi="Palatino Linotype"/>
        </w:rPr>
      </w:pPr>
      <w:r w:rsidRPr="00ED534D">
        <w:rPr>
          <w:rFonts w:ascii="Palatino Linotype" w:hAnsi="Palatino Linotype"/>
        </w:rPr>
        <w:t xml:space="preserve">The indicators I plan to introduce so far are Simple Moving Average, Bollinger Bands, Momentum, Volatility CCI and </w:t>
      </w:r>
      <w:r w:rsidRPr="00ED534D">
        <w:rPr>
          <w:rFonts w:ascii="Palatino Linotype" w:hAnsi="Palatino Linotype"/>
        </w:rPr>
        <w:t>Exponential Moving Average (EMA)</w:t>
      </w:r>
      <w:r w:rsidR="00E83CAA" w:rsidRPr="00ED534D">
        <w:rPr>
          <w:rFonts w:ascii="Palatino Linotype" w:hAnsi="Palatino Linotype"/>
        </w:rPr>
        <w:t>. All of these indicators were calculated for JPM stocks</w:t>
      </w:r>
      <w:r w:rsidR="00AC6675">
        <w:rPr>
          <w:rFonts w:ascii="Palatino Linotype" w:hAnsi="Palatino Linotype"/>
        </w:rPr>
        <w:t xml:space="preserve"> and the prices of the JPM stocks were plotted on all charts for proper comparison</w:t>
      </w:r>
      <w:r w:rsidR="00E83CAA" w:rsidRPr="00ED534D">
        <w:rPr>
          <w:rFonts w:ascii="Palatino Linotype" w:hAnsi="Palatino Linotype"/>
        </w:rPr>
        <w:t>.</w:t>
      </w:r>
    </w:p>
    <w:p w14:paraId="5FBD592E" w14:textId="77777777" w:rsidR="00AD7B27" w:rsidRPr="00ED534D" w:rsidRDefault="00AD7B27" w:rsidP="007F1E3D">
      <w:pPr>
        <w:spacing w:after="0" w:line="240" w:lineRule="auto"/>
        <w:textAlignment w:val="baseline"/>
        <w:rPr>
          <w:rFonts w:ascii="Palatino Linotype" w:hAnsi="Palatino Linotype"/>
        </w:rPr>
      </w:pPr>
    </w:p>
    <w:p w14:paraId="6C68E674" w14:textId="3BBD6809" w:rsidR="0018631B" w:rsidRPr="00ED534D" w:rsidRDefault="0018631B" w:rsidP="007F1E3D">
      <w:pPr>
        <w:spacing w:after="0" w:line="240" w:lineRule="auto"/>
        <w:textAlignment w:val="baseline"/>
        <w:rPr>
          <w:rFonts w:ascii="Palatino Linotype" w:hAnsi="Palatino Linotype"/>
          <w:b/>
          <w:bCs/>
          <w:u w:val="single"/>
        </w:rPr>
      </w:pPr>
      <w:r w:rsidRPr="00ED534D">
        <w:rPr>
          <w:rFonts w:ascii="Palatino Linotype" w:hAnsi="Palatino Linotype"/>
          <w:b/>
          <w:bCs/>
          <w:u w:val="single"/>
        </w:rPr>
        <w:t>Indicator 1:  SMA (Simple Moving Average</w:t>
      </w:r>
      <w:r w:rsidR="00AD7B27" w:rsidRPr="00ED534D">
        <w:rPr>
          <w:rFonts w:ascii="Palatino Linotype" w:hAnsi="Palatino Linotype"/>
          <w:b/>
          <w:bCs/>
          <w:u w:val="single"/>
        </w:rPr>
        <w:t>).</w:t>
      </w:r>
    </w:p>
    <w:p w14:paraId="02C6242D" w14:textId="7E131D4A" w:rsidR="00D848FA" w:rsidRPr="00ED534D" w:rsidRDefault="00D848FA" w:rsidP="007F1E3D">
      <w:pPr>
        <w:spacing w:after="0" w:line="240" w:lineRule="auto"/>
        <w:textAlignment w:val="baseline"/>
        <w:rPr>
          <w:rFonts w:ascii="Palatino Linotype" w:hAnsi="Palatino Linotype"/>
          <w:b/>
          <w:bCs/>
        </w:rPr>
      </w:pPr>
    </w:p>
    <w:p w14:paraId="2BD9FC38" w14:textId="0CD25816" w:rsidR="00104DD3" w:rsidRPr="00ED534D" w:rsidRDefault="0021756F" w:rsidP="007F1E3D">
      <w:pPr>
        <w:spacing w:after="0" w:line="240" w:lineRule="auto"/>
        <w:textAlignment w:val="baseline"/>
        <w:rPr>
          <w:rFonts w:ascii="Palatino Linotype" w:hAnsi="Palatino Linotype"/>
        </w:rPr>
      </w:pPr>
      <w:r w:rsidRPr="00ED534D">
        <w:rPr>
          <w:rFonts w:ascii="Palatino Linotype" w:hAnsi="Palatino Linotype"/>
        </w:rPr>
        <w:t xml:space="preserve">A simple moving average is formed by computing the average price of a </w:t>
      </w:r>
      <w:r w:rsidR="00C55CA7" w:rsidRPr="00ED534D">
        <w:rPr>
          <w:rFonts w:ascii="Palatino Linotype" w:hAnsi="Palatino Linotype"/>
        </w:rPr>
        <w:t>stock/security</w:t>
      </w:r>
      <w:r w:rsidRPr="00ED534D">
        <w:rPr>
          <w:rFonts w:ascii="Palatino Linotype" w:hAnsi="Palatino Linotype"/>
        </w:rPr>
        <w:t xml:space="preserve"> over a specific number of periods.</w:t>
      </w:r>
      <w:r w:rsidRPr="00ED534D">
        <w:rPr>
          <w:rFonts w:ascii="Palatino Linotype" w:hAnsi="Palatino Linotype"/>
        </w:rPr>
        <w:t xml:space="preserve"> As the name suggest, we calculated a rolling (moving) mean (average) over a specified time window (aka lookback window). F</w:t>
      </w:r>
      <w:r w:rsidRPr="00ED534D">
        <w:rPr>
          <w:rFonts w:ascii="Palatino Linotype" w:hAnsi="Palatino Linotype"/>
        </w:rPr>
        <w:t>or example, a 5-day simple moving average is the five-day sum of closing prices divided by five</w:t>
      </w:r>
      <w:r w:rsidR="00104DD3" w:rsidRPr="00ED534D">
        <w:rPr>
          <w:rFonts w:ascii="Palatino Linotype" w:hAnsi="Palatino Linotype"/>
        </w:rPr>
        <w:t xml:space="preserve">.  </w:t>
      </w:r>
    </w:p>
    <w:p w14:paraId="1114A2C3" w14:textId="6AADE292" w:rsidR="00104DD3" w:rsidRPr="00ED534D" w:rsidRDefault="00104DD3" w:rsidP="007F1E3D">
      <w:pPr>
        <w:spacing w:after="0" w:line="240" w:lineRule="auto"/>
        <w:textAlignment w:val="baseline"/>
        <w:rPr>
          <w:rFonts w:ascii="Palatino Linotype" w:hAnsi="Palatino Linotype"/>
        </w:rPr>
      </w:pPr>
      <w:r w:rsidRPr="00ED534D">
        <w:rPr>
          <w:rFonts w:ascii="Palatino Linotype" w:hAnsi="Palatino Linotype"/>
        </w:rPr>
        <w:t>Given below is the mathematical formula.</w:t>
      </w:r>
    </w:p>
    <w:p w14:paraId="38DA988D" w14:textId="64ADA983" w:rsidR="00104DD3" w:rsidRPr="00ED534D" w:rsidRDefault="00104DD3" w:rsidP="007F1E3D">
      <w:pPr>
        <w:spacing w:after="0" w:line="240" w:lineRule="auto"/>
        <w:textAlignment w:val="baseline"/>
        <w:rPr>
          <w:rFonts w:ascii="Palatino Linotype" w:hAnsi="Palatino Linotype"/>
        </w:rPr>
      </w:pPr>
    </w:p>
    <w:p w14:paraId="2F9B25B0" w14:textId="5969FF5E" w:rsidR="00104DD3" w:rsidRPr="00ED534D" w:rsidRDefault="00104DD3" w:rsidP="008509A1">
      <w:pPr>
        <w:spacing w:after="0" w:line="240" w:lineRule="auto"/>
        <w:ind w:left="2070"/>
        <w:textAlignment w:val="baseline"/>
        <w:rPr>
          <w:rFonts w:ascii="Palatino Linotype" w:hAnsi="Palatino Linotype"/>
        </w:rPr>
      </w:pPr>
      <w:r w:rsidRPr="00ED534D">
        <w:rPr>
          <w:noProof/>
        </w:rPr>
        <w:drawing>
          <wp:inline distT="0" distB="0" distL="0" distR="0" wp14:anchorId="3A077680" wp14:editId="41951AD4">
            <wp:extent cx="1478942" cy="604220"/>
            <wp:effectExtent l="0" t="0" r="6985" b="5715"/>
            <wp:docPr id="13" name="Picture 13" descr="Mathematical Description | Technical Indicators | ver. 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ematical Description | Technical Indicators | ver. v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2621" cy="622065"/>
                    </a:xfrm>
                    <a:prstGeom prst="rect">
                      <a:avLst/>
                    </a:prstGeom>
                    <a:noFill/>
                    <a:ln>
                      <a:noFill/>
                    </a:ln>
                  </pic:spPr>
                </pic:pic>
              </a:graphicData>
            </a:graphic>
          </wp:inline>
        </w:drawing>
      </w:r>
    </w:p>
    <w:p w14:paraId="3E578915" w14:textId="11D68B8C" w:rsidR="00AD7B27" w:rsidRPr="00ED534D" w:rsidRDefault="00104DD3" w:rsidP="007F1E3D">
      <w:pPr>
        <w:spacing w:after="0" w:line="240" w:lineRule="auto"/>
        <w:textAlignment w:val="baseline"/>
        <w:rPr>
          <w:rFonts w:ascii="Palatino Linotype" w:hAnsi="Palatino Linotype"/>
        </w:rPr>
      </w:pPr>
      <w:r w:rsidRPr="00ED534D">
        <w:rPr>
          <w:rFonts w:ascii="Palatino Linotype" w:hAnsi="Palatino Linotype"/>
        </w:rPr>
        <w:t>This is helpful because it provides a shot term average which when compared to long term average or average of the entire period, helps us to decide an action to be taken on the stock. So, if a short-term average exceeds a long-term average, it may signal an uptrend.</w:t>
      </w:r>
    </w:p>
    <w:p w14:paraId="242A32E0" w14:textId="39F022C3" w:rsidR="00DA6685" w:rsidRPr="00ED534D" w:rsidRDefault="008509A1" w:rsidP="007F1E3D">
      <w:pPr>
        <w:spacing w:after="0" w:line="240" w:lineRule="auto"/>
        <w:textAlignment w:val="baseline"/>
        <w:rPr>
          <w:rFonts w:ascii="Palatino Linotype" w:hAnsi="Palatino Linotype"/>
        </w:rPr>
      </w:pPr>
      <w:r w:rsidRPr="00ED534D">
        <w:rPr>
          <w:rFonts w:ascii="Palatino Linotype" w:hAnsi="Palatino Linotype"/>
        </w:rPr>
        <w:t>In this</w:t>
      </w:r>
      <w:r w:rsidR="00DA6685" w:rsidRPr="00ED534D">
        <w:rPr>
          <w:rFonts w:ascii="Palatino Linotype" w:hAnsi="Palatino Linotype"/>
        </w:rPr>
        <w:t xml:space="preserve"> project</w:t>
      </w:r>
      <w:r w:rsidRPr="00ED534D">
        <w:rPr>
          <w:rFonts w:ascii="Palatino Linotype" w:hAnsi="Palatino Linotype"/>
        </w:rPr>
        <w:t xml:space="preserve"> the SMA was calculated for a moving period of 21 days and plotted as shown in </w:t>
      </w:r>
      <w:r w:rsidR="00815D46" w:rsidRPr="00ED534D">
        <w:rPr>
          <w:rFonts w:ascii="Palatino Linotype" w:hAnsi="Palatino Linotype"/>
        </w:rPr>
        <w:t>chart next page</w:t>
      </w:r>
      <w:r w:rsidRPr="00ED534D">
        <w:rPr>
          <w:rFonts w:ascii="Palatino Linotype" w:hAnsi="Palatino Linotype"/>
        </w:rPr>
        <w:t xml:space="preserve"> below</w:t>
      </w:r>
      <w:r w:rsidR="00005778" w:rsidRPr="00ED534D">
        <w:rPr>
          <w:rFonts w:ascii="Palatino Linotype" w:hAnsi="Palatino Linotype"/>
        </w:rPr>
        <w:t xml:space="preserve">. </w:t>
      </w:r>
      <w:r w:rsidR="00815D46" w:rsidRPr="00ED534D">
        <w:rPr>
          <w:rFonts w:ascii="Palatino Linotype" w:hAnsi="Palatino Linotype"/>
        </w:rPr>
        <w:t>Also,</w:t>
      </w:r>
      <w:r w:rsidR="00005778" w:rsidRPr="00ED534D">
        <w:rPr>
          <w:rFonts w:ascii="Palatino Linotype" w:hAnsi="Palatino Linotype"/>
        </w:rPr>
        <w:t xml:space="preserve"> Price/SMA was calculated and plotted.</w:t>
      </w:r>
    </w:p>
    <w:p w14:paraId="6C059839" w14:textId="2DADA8FC" w:rsidR="00815D46" w:rsidRPr="00ED534D" w:rsidRDefault="00815D46" w:rsidP="007F1E3D">
      <w:pPr>
        <w:spacing w:after="0" w:line="240" w:lineRule="auto"/>
        <w:textAlignment w:val="baseline"/>
        <w:rPr>
          <w:rFonts w:ascii="Palatino Linotype" w:hAnsi="Palatino Linotype"/>
        </w:rPr>
      </w:pPr>
    </w:p>
    <w:p w14:paraId="69D75C84" w14:textId="1C4907D6" w:rsidR="00815D46" w:rsidRPr="00ED534D" w:rsidRDefault="00815D46" w:rsidP="00815D46">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ED534D">
        <w:rPr>
          <w:rFonts w:ascii="Palatino Linotype" w:eastAsiaTheme="minorEastAsia" w:hAnsi="Palatino Linotype" w:cs="Times New Roman"/>
          <w:spacing w:val="2"/>
          <w:kern w:val="16"/>
          <w14:ligatures w14:val="standardContextual"/>
          <w14:numForm w14:val="oldStyle"/>
          <w14:numSpacing w14:val="proportional"/>
        </w:rPr>
        <w:t xml:space="preserve">If we look at the chart </w:t>
      </w:r>
      <w:r w:rsidRPr="00ED534D">
        <w:rPr>
          <w:rFonts w:ascii="Palatino Linotype" w:eastAsiaTheme="minorEastAsia" w:hAnsi="Palatino Linotype" w:cs="Times New Roman"/>
          <w:spacing w:val="2"/>
          <w:kern w:val="16"/>
          <w14:ligatures w14:val="standardContextual"/>
          <w14:numForm w14:val="oldStyle"/>
          <w14:numSpacing w14:val="proportional"/>
        </w:rPr>
        <w:t>below</w:t>
      </w:r>
      <w:r w:rsidRPr="00ED534D">
        <w:rPr>
          <w:rFonts w:ascii="Palatino Linotype" w:eastAsiaTheme="minorEastAsia" w:hAnsi="Palatino Linotype" w:cs="Times New Roman"/>
          <w:spacing w:val="2"/>
          <w:kern w:val="16"/>
          <w14:ligatures w14:val="standardContextual"/>
          <w14:numForm w14:val="oldStyle"/>
          <w14:numSpacing w14:val="proportional"/>
        </w:rPr>
        <w:t>, we observe that the SMA as compared to Price of the stock is more stable. There are moments when the stock price goes above the average and other times when it goes below the average.</w:t>
      </w:r>
    </w:p>
    <w:p w14:paraId="7A38A323" w14:textId="77777777" w:rsidR="00815D46" w:rsidRPr="00ED534D" w:rsidRDefault="00815D46" w:rsidP="007F1E3D">
      <w:pPr>
        <w:spacing w:after="0" w:line="240" w:lineRule="auto"/>
        <w:textAlignment w:val="baseline"/>
        <w:rPr>
          <w:rFonts w:ascii="Palatino Linotype" w:hAnsi="Palatino Linotype"/>
        </w:rPr>
      </w:pPr>
    </w:p>
    <w:p w14:paraId="3DA224A1" w14:textId="367D3964" w:rsidR="00AC3263" w:rsidRPr="00ED534D" w:rsidRDefault="00005778" w:rsidP="007F1E3D">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ED534D">
        <w:rPr>
          <w:noProof/>
        </w:rPr>
        <w:lastRenderedPageBreak/>
        <w:drawing>
          <wp:inline distT="0" distB="0" distL="0" distR="0" wp14:anchorId="7D0F8671" wp14:editId="1414C7C9">
            <wp:extent cx="3534573" cy="2385391"/>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573" cy="2385391"/>
                    </a:xfrm>
                    <a:prstGeom prst="rect">
                      <a:avLst/>
                    </a:prstGeom>
                  </pic:spPr>
                </pic:pic>
              </a:graphicData>
            </a:graphic>
          </wp:inline>
        </w:drawing>
      </w:r>
    </w:p>
    <w:p w14:paraId="443A2022" w14:textId="04EF8DD9" w:rsidR="00DA6685" w:rsidRPr="00ED534D" w:rsidRDefault="00DA6685" w:rsidP="007F1E3D">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4F827368" w14:textId="77777777" w:rsidR="005E38D2" w:rsidRPr="00ED534D" w:rsidRDefault="005E38D2" w:rsidP="005E38D2">
      <w:pPr>
        <w:spacing w:after="0" w:line="240" w:lineRule="auto"/>
        <w:textAlignment w:val="baseline"/>
        <w:rPr>
          <w:rFonts w:ascii="Palatino Linotype" w:hAnsi="Palatino Linotype"/>
          <w:b/>
          <w:bCs/>
          <w:u w:val="single"/>
        </w:rPr>
      </w:pPr>
      <w:r w:rsidRPr="00ED534D">
        <w:rPr>
          <w:rFonts w:ascii="Palatino Linotype" w:hAnsi="Palatino Linotype"/>
          <w:b/>
          <w:bCs/>
          <w:u w:val="single"/>
        </w:rPr>
        <w:t>Indicator 3:  Exponential Moving Average</w:t>
      </w:r>
    </w:p>
    <w:p w14:paraId="5A9242E8" w14:textId="77777777" w:rsidR="005E38D2" w:rsidRPr="00ED534D" w:rsidRDefault="005E38D2" w:rsidP="005E38D2">
      <w:pPr>
        <w:spacing w:after="0" w:line="240" w:lineRule="auto"/>
        <w:textAlignment w:val="baseline"/>
        <w:rPr>
          <w:rFonts w:ascii="Palatino Linotype" w:hAnsi="Palatino Linotype"/>
          <w:b/>
          <w:bCs/>
          <w:u w:val="single"/>
        </w:rPr>
      </w:pPr>
      <w:r w:rsidRPr="00ED534D">
        <w:rPr>
          <w:rFonts w:ascii="Palatino Linotype" w:hAnsi="Palatino Linotype"/>
        </w:rPr>
        <w:t>Exponential moving average is kind of a rolling weighted average in a given time window, unlike simple moving average which gives same weight to all observations in a given time wirdow.</w:t>
      </w:r>
    </w:p>
    <w:p w14:paraId="381DAE3A" w14:textId="77777777" w:rsidR="005E38D2" w:rsidRPr="00ED534D" w:rsidRDefault="005E38D2" w:rsidP="005E38D2">
      <w:pPr>
        <w:spacing w:after="0" w:line="240" w:lineRule="auto"/>
        <w:textAlignment w:val="baseline"/>
        <w:rPr>
          <w:rFonts w:ascii="Palatino Linotype" w:hAnsi="Palatino Linotype"/>
        </w:rPr>
      </w:pPr>
      <w:r w:rsidRPr="00ED534D">
        <w:rPr>
          <w:rFonts w:ascii="Palatino Linotype" w:hAnsi="Palatino Linotype"/>
        </w:rPr>
        <w:t>Exponential moving average can be used to identify the direction of the trend or define potential support and resistance levels.</w:t>
      </w:r>
      <w:r w:rsidRPr="00ED534D">
        <w:t xml:space="preserve"> </w:t>
      </w:r>
      <w:r w:rsidRPr="00ED534D">
        <w:rPr>
          <w:rFonts w:ascii="Palatino Linotype" w:hAnsi="Palatino Linotype"/>
        </w:rPr>
        <w:t>An exponential moving average (EMA) is a type of moving average (MA) that places a greater weight and significance on the most recent data points. It is calculated in such a way that it reacts more significantly to recent price changes than a simple moving average.</w:t>
      </w:r>
    </w:p>
    <w:p w14:paraId="65B1A8C8" w14:textId="77777777" w:rsidR="005E38D2" w:rsidRPr="00ED534D" w:rsidRDefault="005E38D2" w:rsidP="005E38D2">
      <w:pPr>
        <w:spacing w:after="0" w:line="240" w:lineRule="auto"/>
        <w:textAlignment w:val="baseline"/>
        <w:rPr>
          <w:rFonts w:ascii="Palatino Linotype" w:hAnsi="Palatino Linotype"/>
        </w:rPr>
      </w:pPr>
      <w:r w:rsidRPr="00ED534D">
        <w:rPr>
          <w:rFonts w:ascii="Palatino Linotype" w:hAnsi="Palatino Linotype"/>
        </w:rPr>
        <w:t>Given below is the mathematical formula for EMA</w:t>
      </w:r>
    </w:p>
    <w:p w14:paraId="6BA4E5F5" w14:textId="77777777" w:rsidR="005E38D2" w:rsidRPr="00ED534D" w:rsidRDefault="005E38D2" w:rsidP="005E38D2">
      <w:pPr>
        <w:spacing w:after="0" w:line="240" w:lineRule="auto"/>
        <w:textAlignment w:val="baseline"/>
        <w:rPr>
          <w:rFonts w:ascii="Palatino Linotype" w:hAnsi="Palatino Linotype"/>
        </w:rPr>
      </w:pPr>
      <w:r w:rsidRPr="00ED534D">
        <w:rPr>
          <w:noProof/>
        </w:rPr>
        <w:drawing>
          <wp:inline distT="0" distB="0" distL="0" distR="0" wp14:anchorId="1F318D36" wp14:editId="4B03116E">
            <wp:extent cx="2472855" cy="61274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2458" cy="625034"/>
                    </a:xfrm>
                    <a:prstGeom prst="rect">
                      <a:avLst/>
                    </a:prstGeom>
                  </pic:spPr>
                </pic:pic>
              </a:graphicData>
            </a:graphic>
          </wp:inline>
        </w:drawing>
      </w:r>
    </w:p>
    <w:p w14:paraId="776A26EF" w14:textId="7346D429" w:rsidR="005E38D2" w:rsidRPr="00ED534D" w:rsidRDefault="005E38D2" w:rsidP="005E38D2">
      <w:pPr>
        <w:spacing w:after="0" w:line="240" w:lineRule="auto"/>
        <w:ind w:left="90"/>
        <w:textAlignment w:val="baseline"/>
        <w:rPr>
          <w:rFonts w:ascii="Palatino Linotype" w:hAnsi="Palatino Linotype"/>
        </w:rPr>
      </w:pPr>
      <w:r w:rsidRPr="00ED534D">
        <w:rPr>
          <w:rFonts w:ascii="Palatino Linotype" w:hAnsi="Palatino Linotype"/>
        </w:rPr>
        <w:t>In this project, EMA was calculated or a time window of 21 days and plotted as shown below.</w:t>
      </w:r>
    </w:p>
    <w:p w14:paraId="32E3EE61" w14:textId="7F460DF8" w:rsidR="00C3539E" w:rsidRPr="005E38D2" w:rsidRDefault="005E38D2" w:rsidP="005E38D2">
      <w:pPr>
        <w:spacing w:after="0" w:line="240" w:lineRule="auto"/>
        <w:ind w:left="180"/>
        <w:textAlignment w:val="baseline"/>
        <w:rPr>
          <w:rFonts w:ascii="Palatino Linotype" w:hAnsi="Palatino Linotype"/>
        </w:rPr>
      </w:pPr>
      <w:r w:rsidRPr="00ED534D">
        <w:rPr>
          <w:noProof/>
        </w:rPr>
        <w:drawing>
          <wp:inline distT="0" distB="0" distL="0" distR="0" wp14:anchorId="4FC0875F" wp14:editId="28161C42">
            <wp:extent cx="3387256" cy="2340288"/>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7256" cy="2340288"/>
                    </a:xfrm>
                    <a:prstGeom prst="rect">
                      <a:avLst/>
                    </a:prstGeom>
                  </pic:spPr>
                </pic:pic>
              </a:graphicData>
            </a:graphic>
          </wp:inline>
        </w:drawing>
      </w:r>
    </w:p>
    <w:p w14:paraId="6F7BFA58" w14:textId="3549139E" w:rsidR="0018631B" w:rsidRPr="00ED534D" w:rsidRDefault="0018631B" w:rsidP="0018631B">
      <w:pPr>
        <w:spacing w:after="0" w:line="240" w:lineRule="auto"/>
        <w:textAlignment w:val="baseline"/>
        <w:rPr>
          <w:rFonts w:ascii="Palatino Linotype" w:hAnsi="Palatino Linotype"/>
          <w:b/>
          <w:bCs/>
          <w:u w:val="single"/>
        </w:rPr>
      </w:pPr>
      <w:r w:rsidRPr="00ED534D">
        <w:rPr>
          <w:rFonts w:ascii="Palatino Linotype" w:hAnsi="Palatino Linotype"/>
          <w:b/>
          <w:bCs/>
          <w:u w:val="single"/>
        </w:rPr>
        <w:lastRenderedPageBreak/>
        <w:t xml:space="preserve">Indicator </w:t>
      </w:r>
      <w:r w:rsidR="005E38D2">
        <w:rPr>
          <w:rFonts w:ascii="Palatino Linotype" w:hAnsi="Palatino Linotype"/>
          <w:b/>
          <w:bCs/>
          <w:u w:val="single"/>
        </w:rPr>
        <w:t>3</w:t>
      </w:r>
      <w:r w:rsidRPr="00ED534D">
        <w:rPr>
          <w:rFonts w:ascii="Palatino Linotype" w:hAnsi="Palatino Linotype"/>
          <w:b/>
          <w:bCs/>
          <w:u w:val="single"/>
        </w:rPr>
        <w:t xml:space="preserve">:  </w:t>
      </w:r>
      <w:r w:rsidRPr="00ED534D">
        <w:rPr>
          <w:rFonts w:ascii="Palatino Linotype" w:hAnsi="Palatino Linotype"/>
          <w:b/>
          <w:bCs/>
          <w:u w:val="single"/>
        </w:rPr>
        <w:t>Bollinger Bands</w:t>
      </w:r>
    </w:p>
    <w:p w14:paraId="2723A11D" w14:textId="158B2A22" w:rsidR="00C83D5A" w:rsidRPr="00ED534D" w:rsidRDefault="00E83CAA" w:rsidP="0018631B">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ED534D">
        <w:rPr>
          <w:rFonts w:ascii="Palatino Linotype" w:eastAsiaTheme="minorEastAsia" w:hAnsi="Palatino Linotype" w:cs="Times New Roman"/>
          <w:spacing w:val="2"/>
          <w:kern w:val="16"/>
          <w14:ligatures w14:val="standardContextual"/>
          <w14:numForm w14:val="oldStyle"/>
          <w14:numSpacing w14:val="proportional"/>
        </w:rPr>
        <w:t xml:space="preserve">Bollinger Bands® are </w:t>
      </w:r>
      <w:r w:rsidRPr="00ED534D">
        <w:rPr>
          <w:rFonts w:ascii="Palatino Linotype" w:eastAsiaTheme="minorEastAsia" w:hAnsi="Palatino Linotype" w:cs="Times New Roman"/>
          <w:spacing w:val="2"/>
          <w:kern w:val="16"/>
          <w14:ligatures w14:val="standardContextual"/>
          <w14:numForm w14:val="oldStyle"/>
          <w14:numSpacing w14:val="proportional"/>
        </w:rPr>
        <w:t xml:space="preserve">nothing but </w:t>
      </w:r>
      <w:r w:rsidRPr="00ED534D">
        <w:rPr>
          <w:rFonts w:ascii="Palatino Linotype" w:eastAsiaTheme="minorEastAsia" w:hAnsi="Palatino Linotype" w:cs="Times New Roman"/>
          <w:spacing w:val="2"/>
          <w:kern w:val="16"/>
          <w14:ligatures w14:val="standardContextual"/>
          <w14:numForm w14:val="oldStyle"/>
          <w14:numSpacing w14:val="proportional"/>
        </w:rPr>
        <w:t xml:space="preserve">volatility bands </w:t>
      </w:r>
      <w:r w:rsidRPr="00ED534D">
        <w:rPr>
          <w:rFonts w:ascii="Palatino Linotype" w:eastAsiaTheme="minorEastAsia" w:hAnsi="Palatino Linotype" w:cs="Times New Roman"/>
          <w:spacing w:val="2"/>
          <w:kern w:val="16"/>
          <w14:ligatures w14:val="standardContextual"/>
          <w14:numForm w14:val="oldStyle"/>
          <w14:numSpacing w14:val="proportional"/>
        </w:rPr>
        <w:t xml:space="preserve">which are </w:t>
      </w:r>
      <w:r w:rsidRPr="00ED534D">
        <w:rPr>
          <w:rFonts w:ascii="Palatino Linotype" w:eastAsiaTheme="minorEastAsia" w:hAnsi="Palatino Linotype" w:cs="Times New Roman"/>
          <w:spacing w:val="2"/>
          <w:kern w:val="16"/>
          <w14:ligatures w14:val="standardContextual"/>
          <w14:numForm w14:val="oldStyle"/>
          <w14:numSpacing w14:val="proportional"/>
        </w:rPr>
        <w:t xml:space="preserve">placed above and below a </w:t>
      </w:r>
      <w:r w:rsidRPr="00ED534D">
        <w:rPr>
          <w:rFonts w:ascii="Palatino Linotype" w:eastAsiaTheme="minorEastAsia" w:hAnsi="Palatino Linotype" w:cs="Times New Roman"/>
          <w:spacing w:val="2"/>
          <w:kern w:val="16"/>
          <w14:ligatures w14:val="standardContextual"/>
          <w14:numForm w14:val="oldStyle"/>
          <w14:numSpacing w14:val="proportional"/>
        </w:rPr>
        <w:t xml:space="preserve">simple </w:t>
      </w:r>
      <w:r w:rsidRPr="00ED534D">
        <w:rPr>
          <w:rFonts w:ascii="Palatino Linotype" w:eastAsiaTheme="minorEastAsia" w:hAnsi="Palatino Linotype" w:cs="Times New Roman"/>
          <w:spacing w:val="2"/>
          <w:kern w:val="16"/>
          <w14:ligatures w14:val="standardContextual"/>
          <w14:numForm w14:val="oldStyle"/>
          <w14:numSpacing w14:val="proportional"/>
        </w:rPr>
        <w:t>moving average.</w:t>
      </w:r>
      <w:r w:rsidR="00B0574E" w:rsidRPr="00ED534D">
        <w:rPr>
          <w:rFonts w:ascii="Palatino Linotype" w:eastAsiaTheme="minorEastAsia" w:hAnsi="Palatino Linotype" w:cs="Times New Roman"/>
          <w:spacing w:val="2"/>
          <w:kern w:val="16"/>
          <w14:ligatures w14:val="standardContextual"/>
          <w14:numForm w14:val="oldStyle"/>
          <w14:numSpacing w14:val="proportional"/>
        </w:rPr>
        <w:t xml:space="preserve"> These volatility bands are two standard deviations plotted above (aka upper Bollinger Band) and below SMA </w:t>
      </w:r>
      <w:r w:rsidR="00B0574E" w:rsidRPr="00ED534D">
        <w:rPr>
          <w:rFonts w:ascii="Palatino Linotype" w:eastAsiaTheme="minorEastAsia" w:hAnsi="Palatino Linotype" w:cs="Times New Roman"/>
          <w:spacing w:val="2"/>
          <w:kern w:val="16"/>
          <w14:ligatures w14:val="standardContextual"/>
          <w14:numForm w14:val="oldStyle"/>
          <w14:numSpacing w14:val="proportional"/>
        </w:rPr>
        <w:t>(aka upper Bollinger Band)</w:t>
      </w:r>
      <w:r w:rsidR="00B0574E" w:rsidRPr="00ED534D">
        <w:rPr>
          <w:rFonts w:ascii="Palatino Linotype" w:eastAsiaTheme="minorEastAsia" w:hAnsi="Palatino Linotype" w:cs="Times New Roman"/>
          <w:spacing w:val="2"/>
          <w:kern w:val="16"/>
          <w14:ligatures w14:val="standardContextual"/>
          <w14:numForm w14:val="oldStyle"/>
          <w14:numSpacing w14:val="proportional"/>
        </w:rPr>
        <w:t xml:space="preserve">. </w:t>
      </w:r>
      <w:r w:rsidR="00B0574E" w:rsidRPr="00ED534D">
        <w:rPr>
          <w:rFonts w:ascii="Palatino Linotype" w:eastAsiaTheme="minorEastAsia" w:hAnsi="Palatino Linotype" w:cs="Times New Roman"/>
          <w:spacing w:val="2"/>
          <w:kern w:val="16"/>
          <w14:ligatures w14:val="standardContextual"/>
          <w14:numForm w14:val="oldStyle"/>
          <w14:numSpacing w14:val="proportional"/>
        </w:rPr>
        <w:t>The bands automatically widen when volatility increases and contract when volatility decreases.</w:t>
      </w:r>
      <w:r w:rsidR="00C83D5A" w:rsidRPr="00ED534D">
        <w:rPr>
          <w:rFonts w:ascii="Palatino Linotype" w:eastAsiaTheme="minorEastAsia" w:hAnsi="Palatino Linotype" w:cs="Times New Roman"/>
          <w:spacing w:val="2"/>
          <w:kern w:val="16"/>
          <w14:ligatures w14:val="standardContextual"/>
          <w14:numForm w14:val="oldStyle"/>
          <w14:numSpacing w14:val="proportional"/>
        </w:rPr>
        <w:t xml:space="preserve"> Increased volatility or wider bands indicates greater possibility of exiting a trade in future and decreased volatility indicates a possibility increasing trade opportunities.</w:t>
      </w:r>
    </w:p>
    <w:p w14:paraId="0974DE5B" w14:textId="17A147F3" w:rsidR="008A4A8C" w:rsidRPr="00ED534D" w:rsidRDefault="00B0574E" w:rsidP="0018631B">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ED534D">
        <w:rPr>
          <w:rFonts w:ascii="Georgia" w:hAnsi="Georgia"/>
          <w:color w:val="000000"/>
          <w:shd w:val="clear" w:color="auto" w:fill="FFFFFF"/>
        </w:rPr>
        <w:t> </w:t>
      </w:r>
      <w:r w:rsidRPr="00ED534D">
        <w:rPr>
          <w:rFonts w:ascii="Palatino Linotype" w:eastAsiaTheme="minorEastAsia" w:hAnsi="Palatino Linotype" w:cs="Times New Roman"/>
          <w:spacing w:val="2"/>
          <w:kern w:val="16"/>
          <w14:ligatures w14:val="standardContextual"/>
          <w14:numForm w14:val="oldStyle"/>
          <w14:numSpacing w14:val="proportional"/>
        </w:rPr>
        <w:t xml:space="preserve">It is </w:t>
      </w:r>
      <w:r w:rsidR="00C83D5A" w:rsidRPr="00ED534D">
        <w:rPr>
          <w:rFonts w:ascii="Palatino Linotype" w:eastAsiaTheme="minorEastAsia" w:hAnsi="Palatino Linotype" w:cs="Times New Roman"/>
          <w:spacing w:val="2"/>
          <w:kern w:val="16"/>
          <w14:ligatures w14:val="standardContextual"/>
          <w14:numForm w14:val="oldStyle"/>
          <w14:numSpacing w14:val="proportional"/>
        </w:rPr>
        <w:t xml:space="preserve">also </w:t>
      </w:r>
      <w:r w:rsidRPr="00ED534D">
        <w:rPr>
          <w:rFonts w:ascii="Palatino Linotype" w:eastAsiaTheme="minorEastAsia" w:hAnsi="Palatino Linotype" w:cs="Times New Roman"/>
          <w:spacing w:val="2"/>
          <w:kern w:val="16"/>
          <w14:ligatures w14:val="standardContextual"/>
          <w14:numForm w14:val="oldStyle"/>
          <w14:numSpacing w14:val="proportional"/>
        </w:rPr>
        <w:t>believed that when a price of a stock moves closer to the upper Bollinger band, the stocks are purchased heavily and when the price is closer to the lower band the stocks are sold heavily.</w:t>
      </w:r>
      <w:r w:rsidR="00C83D5A" w:rsidRPr="00ED534D">
        <w:rPr>
          <w:rFonts w:ascii="Palatino Linotype" w:eastAsiaTheme="minorEastAsia" w:hAnsi="Palatino Linotype" w:cs="Times New Roman"/>
          <w:spacing w:val="2"/>
          <w:kern w:val="16"/>
          <w14:ligatures w14:val="standardContextual"/>
          <w14:numForm w14:val="oldStyle"/>
          <w14:numSpacing w14:val="proportional"/>
        </w:rPr>
        <w:t xml:space="preserve"> </w:t>
      </w:r>
    </w:p>
    <w:p w14:paraId="7FF3A1F9" w14:textId="77777777" w:rsidR="0039571B" w:rsidRPr="00ED534D" w:rsidRDefault="00C83D5A" w:rsidP="0018631B">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ED534D">
        <w:rPr>
          <w:rFonts w:ascii="Palatino Linotype" w:eastAsiaTheme="minorEastAsia" w:hAnsi="Palatino Linotype" w:cs="Times New Roman"/>
          <w:spacing w:val="2"/>
          <w:kern w:val="16"/>
          <w14:ligatures w14:val="standardContextual"/>
          <w14:numForm w14:val="oldStyle"/>
          <w14:numSpacing w14:val="proportional"/>
        </w:rPr>
        <w:t xml:space="preserve">However, though Bollinger Bands may not be the only indicator to </w:t>
      </w:r>
      <w:r w:rsidR="00C3539E" w:rsidRPr="00ED534D">
        <w:rPr>
          <w:rFonts w:ascii="Palatino Linotype" w:eastAsiaTheme="minorEastAsia" w:hAnsi="Palatino Linotype" w:cs="Times New Roman"/>
          <w:spacing w:val="2"/>
          <w:kern w:val="16"/>
          <w14:ligatures w14:val="standardContextual"/>
          <w14:numForm w14:val="oldStyle"/>
          <w14:numSpacing w14:val="proportional"/>
        </w:rPr>
        <w:t>explore volatility, it is definitely a valuable indicator that helps investors in predicting trading opportunities.</w:t>
      </w:r>
    </w:p>
    <w:p w14:paraId="2151E6F5" w14:textId="520EF7E4" w:rsidR="00C83D5A" w:rsidRPr="00ED534D" w:rsidRDefault="0039571B" w:rsidP="0018631B">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ED534D">
        <w:rPr>
          <w:rFonts w:ascii="Palatino Linotype" w:eastAsiaTheme="minorEastAsia" w:hAnsi="Palatino Linotype" w:cs="Times New Roman"/>
          <w:spacing w:val="2"/>
          <w:kern w:val="16"/>
          <w14:ligatures w14:val="standardContextual"/>
          <w14:numForm w14:val="oldStyle"/>
          <w14:numSpacing w14:val="proportional"/>
        </w:rPr>
        <w:t xml:space="preserve"> Apart from the Bollinger band we also calculated BB Value which indicates relative position of the current price with regards to the bands.</w:t>
      </w:r>
    </w:p>
    <w:p w14:paraId="7EF5B97C" w14:textId="2B1BDA95" w:rsidR="00C3539E" w:rsidRPr="00ED534D" w:rsidRDefault="00C3539E" w:rsidP="0018631B">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531364E4" w14:textId="5F238855" w:rsidR="0037620F" w:rsidRPr="00ED534D" w:rsidRDefault="0037620F" w:rsidP="0037620F">
      <w:pPr>
        <w:pStyle w:val="ListParagraph"/>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ED534D">
        <w:rPr>
          <w:rFonts w:ascii="Palatino Linotype" w:eastAsiaTheme="minorEastAsia" w:hAnsi="Palatino Linotype" w:cs="Times New Roman"/>
          <w:spacing w:val="2"/>
          <w:kern w:val="16"/>
          <w14:ligatures w14:val="standardContextual"/>
          <w14:numForm w14:val="oldStyle"/>
          <w14:numSpacing w14:val="proportional"/>
        </w:rPr>
        <w:t>Given below are the mathematical formulas for Bollinger Band and BB Value.</w:t>
      </w:r>
    </w:p>
    <w:p w14:paraId="4587B5AA" w14:textId="17815535" w:rsidR="0037620F" w:rsidRPr="00ED534D" w:rsidRDefault="0037620F" w:rsidP="0037620F">
      <w:pPr>
        <w:pStyle w:val="ListParagraph"/>
        <w:spacing w:after="0" w:line="240" w:lineRule="auto"/>
        <w:ind w:left="0"/>
        <w:textAlignment w:val="baseline"/>
        <w:rPr>
          <w:rFonts w:ascii="Palatino Linotype" w:eastAsiaTheme="minorEastAsia" w:hAnsi="Palatino Linotype" w:cs="Times New Roman"/>
          <w:color w:val="000000" w:themeColor="text1"/>
          <w:spacing w:val="2"/>
          <w:kern w:val="16"/>
          <w14:ligatures w14:val="standardContextual"/>
          <w14:numForm w14:val="oldStyle"/>
          <w14:numSpacing w14:val="proportional"/>
        </w:rPr>
      </w:pP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Upper Band </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 SMA + 2 * (σ </w:t>
      </w:r>
      <w:r w:rsidRPr="00ED534D">
        <w:rPr>
          <w:rFonts w:ascii="Palatino Linotype" w:eastAsiaTheme="minorEastAsia" w:hAnsi="Palatino Linotype" w:cs="Times New Roman"/>
          <w:color w:val="000000" w:themeColor="text1"/>
          <w:spacing w:val="2"/>
          <w:kern w:val="16"/>
          <w:vertAlign w:val="subscript"/>
          <w14:ligatures w14:val="standardContextual"/>
          <w14:numForm w14:val="oldStyle"/>
          <w14:numSpacing w14:val="proportional"/>
        </w:rPr>
        <w:t>Prices</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 </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w:t>
      </w:r>
    </w:p>
    <w:p w14:paraId="21D7E50D" w14:textId="2619C99D" w:rsidR="0037620F" w:rsidRPr="00ED534D" w:rsidRDefault="0037620F" w:rsidP="0037620F">
      <w:pPr>
        <w:pStyle w:val="ListParagraph"/>
        <w:spacing w:after="0" w:line="240" w:lineRule="auto"/>
        <w:ind w:left="0"/>
        <w:textAlignment w:val="baseline"/>
        <w:rPr>
          <w:rFonts w:ascii="Palatino Linotype" w:eastAsiaTheme="minorEastAsia" w:hAnsi="Palatino Linotype" w:cs="Times New Roman"/>
          <w:color w:val="000000" w:themeColor="text1"/>
          <w:spacing w:val="2"/>
          <w:kern w:val="16"/>
          <w14:ligatures w14:val="standardContextual"/>
          <w14:numForm w14:val="oldStyle"/>
          <w14:numSpacing w14:val="proportional"/>
        </w:rPr>
      </w:pP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Lower</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 Band = SMA </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 2* (σ </w:t>
      </w:r>
      <w:r w:rsidRPr="00ED534D">
        <w:rPr>
          <w:rFonts w:ascii="Palatino Linotype" w:eastAsiaTheme="minorEastAsia" w:hAnsi="Palatino Linotype" w:cs="Times New Roman"/>
          <w:color w:val="000000" w:themeColor="text1"/>
          <w:spacing w:val="2"/>
          <w:kern w:val="16"/>
          <w:vertAlign w:val="subscript"/>
          <w14:ligatures w14:val="standardContextual"/>
          <w14:numForm w14:val="oldStyle"/>
          <w14:numSpacing w14:val="proportional"/>
        </w:rPr>
        <w:t>Prices</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 )</w:t>
      </w:r>
    </w:p>
    <w:p w14:paraId="4AA1D821" w14:textId="73090448" w:rsidR="0037620F" w:rsidRPr="00ED534D" w:rsidRDefault="0037620F" w:rsidP="00815D46">
      <w:pPr>
        <w:pStyle w:val="ListParagraph"/>
        <w:spacing w:after="0" w:line="240" w:lineRule="auto"/>
        <w:ind w:left="0"/>
        <w:textAlignment w:val="baseline"/>
        <w:rPr>
          <w:rFonts w:ascii="Palatino Linotype" w:eastAsiaTheme="minorEastAsia" w:hAnsi="Palatino Linotype" w:cs="Times New Roman"/>
          <w:color w:val="000000" w:themeColor="text1"/>
          <w:spacing w:val="2"/>
          <w:kern w:val="16"/>
          <w14:ligatures w14:val="standardContextual"/>
          <w14:numForm w14:val="oldStyle"/>
          <w14:numSpacing w14:val="proportional"/>
        </w:rPr>
      </w:pP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BB Value =  (Prices – SMA)/(2 * </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σ </w:t>
      </w:r>
      <w:r w:rsidRPr="00ED534D">
        <w:rPr>
          <w:rFonts w:ascii="Palatino Linotype" w:eastAsiaTheme="minorEastAsia" w:hAnsi="Palatino Linotype" w:cs="Times New Roman"/>
          <w:color w:val="000000" w:themeColor="text1"/>
          <w:spacing w:val="2"/>
          <w:kern w:val="16"/>
          <w:vertAlign w:val="subscript"/>
          <w14:ligatures w14:val="standardContextual"/>
          <w14:numForm w14:val="oldStyle"/>
          <w14:numSpacing w14:val="proportional"/>
        </w:rPr>
        <w:t>Prices</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w:t>
      </w:r>
    </w:p>
    <w:p w14:paraId="3BF63ECF" w14:textId="77777777" w:rsidR="00815D46" w:rsidRPr="00ED534D" w:rsidRDefault="00815D46" w:rsidP="00815D46">
      <w:pPr>
        <w:pStyle w:val="ListParagraph"/>
        <w:spacing w:after="0" w:line="240" w:lineRule="auto"/>
        <w:ind w:left="0"/>
        <w:textAlignment w:val="baseline"/>
        <w:rPr>
          <w:rFonts w:ascii="Palatino Linotype" w:eastAsiaTheme="minorEastAsia" w:hAnsi="Palatino Linotype" w:cs="Times New Roman"/>
          <w:color w:val="000000" w:themeColor="text1"/>
          <w:spacing w:val="2"/>
          <w:kern w:val="16"/>
          <w14:ligatures w14:val="standardContextual"/>
          <w14:numForm w14:val="oldStyle"/>
          <w14:numSpacing w14:val="proportional"/>
        </w:rPr>
      </w:pPr>
    </w:p>
    <w:p w14:paraId="665964E8" w14:textId="14F6CBE6" w:rsidR="00C3539E" w:rsidRPr="00ED534D" w:rsidRDefault="00C3539E" w:rsidP="0018631B">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ED534D">
        <w:rPr>
          <w:rFonts w:ascii="Palatino Linotype" w:eastAsiaTheme="minorEastAsia" w:hAnsi="Palatino Linotype" w:cs="Times New Roman"/>
          <w:spacing w:val="2"/>
          <w:kern w:val="16"/>
          <w14:ligatures w14:val="standardContextual"/>
          <w14:numForm w14:val="oldStyle"/>
          <w14:numSpacing w14:val="proportional"/>
        </w:rPr>
        <w:t xml:space="preserve">In this project, I have calculated 4 metrics and my graph shows 5 of them and </w:t>
      </w:r>
      <w:r w:rsidR="00815D46" w:rsidRPr="00ED534D">
        <w:rPr>
          <w:rFonts w:ascii="Palatino Linotype" w:eastAsiaTheme="minorEastAsia" w:hAnsi="Palatino Linotype" w:cs="Times New Roman"/>
          <w:spacing w:val="2"/>
          <w:kern w:val="16"/>
          <w14:ligatures w14:val="standardContextual"/>
          <w14:numForm w14:val="oldStyle"/>
          <w14:numSpacing w14:val="proportional"/>
        </w:rPr>
        <w:t>those metrics are SMA, Upper Band, Lower Band, Bollinger Band Value and Price of JPM Stock</w:t>
      </w:r>
    </w:p>
    <w:p w14:paraId="451B87A4" w14:textId="4C2F7DF6" w:rsidR="0037620F" w:rsidRPr="00ED534D" w:rsidRDefault="0037620F" w:rsidP="0037620F">
      <w:pPr>
        <w:pStyle w:val="ListParagraph"/>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5C98C73C" w14:textId="58D883DF" w:rsidR="0037620F" w:rsidRDefault="0039571B" w:rsidP="005E38D2">
      <w:pPr>
        <w:keepNext/>
        <w:rPr>
          <w:rFonts w:ascii="Palatino Linotype" w:hAnsi="Palatino Linotype"/>
          <w:b/>
          <w:bCs/>
        </w:rPr>
      </w:pPr>
      <w:r w:rsidRPr="00ED534D">
        <w:rPr>
          <w:noProof/>
        </w:rPr>
        <w:drawing>
          <wp:inline distT="0" distB="0" distL="0" distR="0" wp14:anchorId="03A611C2" wp14:editId="44DB1856">
            <wp:extent cx="3346892" cy="227013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6892" cy="2270139"/>
                    </a:xfrm>
                    <a:prstGeom prst="rect">
                      <a:avLst/>
                    </a:prstGeom>
                  </pic:spPr>
                </pic:pic>
              </a:graphicData>
            </a:graphic>
          </wp:inline>
        </w:drawing>
      </w:r>
    </w:p>
    <w:p w14:paraId="0547FA0D" w14:textId="77777777" w:rsidR="005E38D2" w:rsidRPr="00ED534D" w:rsidRDefault="005E38D2" w:rsidP="002403A8">
      <w:pPr>
        <w:keepNext/>
        <w:ind w:left="-360"/>
        <w:rPr>
          <w:rFonts w:ascii="Palatino Linotype" w:hAnsi="Palatino Linotype"/>
          <w:b/>
          <w:bCs/>
        </w:rPr>
      </w:pPr>
    </w:p>
    <w:p w14:paraId="32AB88AC" w14:textId="77777777" w:rsidR="005E38D2" w:rsidRDefault="005E38D2" w:rsidP="0018631B">
      <w:pPr>
        <w:spacing w:after="0" w:line="240" w:lineRule="auto"/>
        <w:textAlignment w:val="baseline"/>
        <w:rPr>
          <w:rFonts w:ascii="Palatino Linotype" w:hAnsi="Palatino Linotype"/>
          <w:b/>
          <w:bCs/>
          <w:u w:val="single"/>
        </w:rPr>
      </w:pPr>
    </w:p>
    <w:p w14:paraId="5FF512E4" w14:textId="4780C8FE" w:rsidR="0018631B" w:rsidRPr="00ED534D" w:rsidRDefault="0018631B" w:rsidP="0018631B">
      <w:pPr>
        <w:spacing w:after="0" w:line="240" w:lineRule="auto"/>
        <w:textAlignment w:val="baseline"/>
        <w:rPr>
          <w:rFonts w:ascii="Palatino Linotype" w:hAnsi="Palatino Linotype"/>
          <w:b/>
          <w:bCs/>
          <w:u w:val="single"/>
        </w:rPr>
      </w:pPr>
      <w:r w:rsidRPr="00ED534D">
        <w:rPr>
          <w:rFonts w:ascii="Palatino Linotype" w:hAnsi="Palatino Linotype"/>
          <w:b/>
          <w:bCs/>
          <w:u w:val="single"/>
        </w:rPr>
        <w:lastRenderedPageBreak/>
        <w:t xml:space="preserve">Indicator </w:t>
      </w:r>
      <w:r w:rsidRPr="00ED534D">
        <w:rPr>
          <w:rFonts w:ascii="Palatino Linotype" w:hAnsi="Palatino Linotype"/>
          <w:b/>
          <w:bCs/>
          <w:u w:val="single"/>
        </w:rPr>
        <w:t>4</w:t>
      </w:r>
      <w:r w:rsidRPr="00ED534D">
        <w:rPr>
          <w:rFonts w:ascii="Palatino Linotype" w:hAnsi="Palatino Linotype"/>
          <w:b/>
          <w:bCs/>
          <w:u w:val="single"/>
        </w:rPr>
        <w:t xml:space="preserve">:  </w:t>
      </w:r>
      <w:r w:rsidRPr="00ED534D">
        <w:rPr>
          <w:rFonts w:ascii="Palatino Linotype" w:hAnsi="Palatino Linotype"/>
          <w:b/>
          <w:bCs/>
          <w:u w:val="single"/>
        </w:rPr>
        <w:t>Volatility</w:t>
      </w:r>
      <w:r w:rsidR="00C128AF" w:rsidRPr="00ED534D">
        <w:rPr>
          <w:rFonts w:ascii="Palatino Linotype" w:hAnsi="Palatino Linotype"/>
          <w:b/>
          <w:bCs/>
          <w:u w:val="single"/>
        </w:rPr>
        <w:t xml:space="preserve"> (aka Standard Deviation Volatility)</w:t>
      </w:r>
    </w:p>
    <w:p w14:paraId="5A1D3B93" w14:textId="7610FB2A" w:rsidR="001D1970" w:rsidRPr="00ED534D" w:rsidRDefault="00C128AF" w:rsidP="0018631B">
      <w:pPr>
        <w:spacing w:after="0" w:line="240" w:lineRule="auto"/>
        <w:textAlignment w:val="baseline"/>
        <w:rPr>
          <w:rFonts w:ascii="Palatino Linotype" w:hAnsi="Palatino Linotype"/>
        </w:rPr>
      </w:pPr>
      <w:r w:rsidRPr="00ED534D">
        <w:rPr>
          <w:rFonts w:ascii="Palatino Linotype" w:hAnsi="Palatino Linotype"/>
        </w:rPr>
        <w:t>Volatility</w:t>
      </w:r>
      <w:r w:rsidRPr="00ED534D">
        <w:rPr>
          <w:rFonts w:ascii="Palatino Linotype" w:hAnsi="Palatino Linotype"/>
        </w:rPr>
        <w:t xml:space="preserve"> is </w:t>
      </w:r>
      <w:r w:rsidRPr="00ED534D">
        <w:rPr>
          <w:rFonts w:ascii="Palatino Linotype" w:hAnsi="Palatino Linotype"/>
        </w:rPr>
        <w:t>nothing but</w:t>
      </w:r>
      <w:r w:rsidRPr="00ED534D">
        <w:rPr>
          <w:rFonts w:ascii="Palatino Linotype" w:hAnsi="Palatino Linotype"/>
        </w:rPr>
        <w:t xml:space="preserve"> variability or dispersion around an average</w:t>
      </w:r>
      <w:r w:rsidRPr="00ED534D">
        <w:rPr>
          <w:rFonts w:ascii="Palatino Linotype" w:hAnsi="Palatino Linotype"/>
        </w:rPr>
        <w:t xml:space="preserve"> or in other words it is difference between actual value and the average value. </w:t>
      </w:r>
      <w:r w:rsidR="001D1970" w:rsidRPr="00ED534D">
        <w:rPr>
          <w:rFonts w:ascii="Palatino Linotype" w:hAnsi="Palatino Linotype"/>
        </w:rPr>
        <w:t xml:space="preserve"> Volatility represents certain amount uncertainty or risk associated with the changes in the stock value. It can be said that, higher the volatility, riskier the security of the stock</w:t>
      </w:r>
      <w:r w:rsidR="00135787" w:rsidRPr="00ED534D">
        <w:rPr>
          <w:rFonts w:ascii="Palatino Linotype" w:hAnsi="Palatino Linotype"/>
        </w:rPr>
        <w:t xml:space="preserve"> because with high </w:t>
      </w:r>
      <w:r w:rsidR="00135787" w:rsidRPr="00ED534D">
        <w:rPr>
          <w:rFonts w:ascii="Palatino Linotype" w:hAnsi="Palatino Linotype"/>
        </w:rPr>
        <w:t>volatility</w:t>
      </w:r>
      <w:r w:rsidR="00135787" w:rsidRPr="00ED534D">
        <w:rPr>
          <w:rFonts w:ascii="Palatino Linotype" w:hAnsi="Palatino Linotype"/>
        </w:rPr>
        <w:t xml:space="preserve"> indicates that the price of the stock can be spread out over a large range of value which means that the stock price can change in any direction in short amount of time</w:t>
      </w:r>
      <w:r w:rsidR="001D1970" w:rsidRPr="00ED534D">
        <w:rPr>
          <w:rFonts w:ascii="Palatino Linotype" w:hAnsi="Palatino Linotype"/>
        </w:rPr>
        <w:t>.</w:t>
      </w:r>
      <w:r w:rsidR="00135787" w:rsidRPr="00ED534D">
        <w:rPr>
          <w:rFonts w:ascii="Palatino Linotype" w:hAnsi="Palatino Linotype"/>
        </w:rPr>
        <w:t xml:space="preserve"> Volatility helps a trader identify if a stock is a stable investment or as investment with many ups and down.</w:t>
      </w:r>
    </w:p>
    <w:p w14:paraId="0233A376" w14:textId="77777777" w:rsidR="001D1970" w:rsidRPr="00ED534D" w:rsidRDefault="001D1970" w:rsidP="0018631B">
      <w:pPr>
        <w:spacing w:after="0" w:line="240" w:lineRule="auto"/>
        <w:textAlignment w:val="baseline"/>
        <w:rPr>
          <w:rFonts w:ascii="Palatino Linotype" w:hAnsi="Palatino Linotype"/>
        </w:rPr>
      </w:pPr>
    </w:p>
    <w:p w14:paraId="54BCE7B7" w14:textId="16BFE0BC" w:rsidR="00C128AF" w:rsidRPr="00ED534D" w:rsidRDefault="00C128AF" w:rsidP="0018631B">
      <w:pPr>
        <w:spacing w:after="0" w:line="240" w:lineRule="auto"/>
        <w:textAlignment w:val="baseline"/>
        <w:rPr>
          <w:rFonts w:ascii="Palatino Linotype" w:hAnsi="Palatino Linotype"/>
        </w:rPr>
      </w:pPr>
      <w:r w:rsidRPr="00ED534D">
        <w:rPr>
          <w:rFonts w:ascii="Palatino Linotype" w:hAnsi="Palatino Linotype"/>
        </w:rPr>
        <w:t>The volatility that we have calculated in this project is the rolling standard deviation of daily returns of the stock price.</w:t>
      </w:r>
    </w:p>
    <w:p w14:paraId="5A0D0693" w14:textId="77777777" w:rsidR="00C128AF" w:rsidRPr="00ED534D" w:rsidRDefault="00C128AF" w:rsidP="0018631B">
      <w:pPr>
        <w:spacing w:after="0" w:line="240" w:lineRule="auto"/>
        <w:textAlignment w:val="baseline"/>
        <w:rPr>
          <w:rFonts w:ascii="Palatino Linotype" w:hAnsi="Palatino Linotype"/>
        </w:rPr>
      </w:pPr>
      <w:r w:rsidRPr="00ED534D">
        <w:rPr>
          <w:rFonts w:ascii="Palatino Linotype" w:hAnsi="Palatino Linotype"/>
        </w:rPr>
        <w:t xml:space="preserve">Daily Returns is a measure of how much a price of a stock goes up or down on a given day. </w:t>
      </w:r>
    </w:p>
    <w:p w14:paraId="5B728BA5" w14:textId="40C21576" w:rsidR="00C128AF" w:rsidRPr="00ED534D" w:rsidRDefault="00C128AF" w:rsidP="0018631B">
      <w:pPr>
        <w:spacing w:after="0" w:line="240" w:lineRule="auto"/>
        <w:textAlignment w:val="baseline"/>
        <w:rPr>
          <w:rFonts w:ascii="Palatino Linotype" w:hAnsi="Palatino Linotype"/>
        </w:rPr>
      </w:pPr>
      <w:r w:rsidRPr="00ED534D">
        <w:rPr>
          <w:rFonts w:ascii="Palatino Linotype" w:hAnsi="Palatino Linotype"/>
        </w:rPr>
        <w:t>Given below is the formula for Daily Return</w:t>
      </w:r>
    </w:p>
    <w:p w14:paraId="70BE2475" w14:textId="7EF68853" w:rsidR="00C128AF" w:rsidRPr="00ED534D" w:rsidRDefault="00C128AF" w:rsidP="0018631B">
      <w:pPr>
        <w:spacing w:after="0" w:line="240" w:lineRule="auto"/>
        <w:textAlignment w:val="baseline"/>
        <w:rPr>
          <w:rFonts w:ascii="Palatino Linotype" w:hAnsi="Palatino Linotype"/>
        </w:rPr>
      </w:pPr>
      <w:r w:rsidRPr="00ED534D">
        <w:rPr>
          <w:rFonts w:ascii="Palatino Linotype" w:hAnsi="Palatino Linotype"/>
        </w:rPr>
        <w:t xml:space="preserve"> </w:t>
      </w:r>
      <w:r w:rsidR="00D9713B" w:rsidRPr="00ED534D">
        <w:rPr>
          <w:rFonts w:ascii="Palatino Linotype" w:hAnsi="Palatino Linotype"/>
        </w:rPr>
        <w:tab/>
      </w:r>
      <w:r w:rsidRPr="00ED534D">
        <w:rPr>
          <w:rFonts w:ascii="Palatino Linotype" w:hAnsi="Palatino Linotype"/>
          <w:b/>
          <w:bCs/>
        </w:rPr>
        <w:t>DR</w:t>
      </w:r>
      <w:r w:rsidRPr="00ED534D">
        <w:rPr>
          <w:rFonts w:ascii="Palatino Linotype" w:hAnsi="Palatino Linotype"/>
          <w:vertAlign w:val="subscript"/>
        </w:rPr>
        <w:t>Today</w:t>
      </w:r>
      <w:r w:rsidRPr="00ED534D">
        <w:rPr>
          <w:rFonts w:ascii="Palatino Linotype" w:hAnsi="Palatino Linotype"/>
        </w:rPr>
        <w:t xml:space="preserve"> = (</w:t>
      </w:r>
      <w:r w:rsidRPr="00ED534D">
        <w:rPr>
          <w:rFonts w:ascii="Palatino Linotype" w:hAnsi="Palatino Linotype"/>
          <w:b/>
          <w:bCs/>
        </w:rPr>
        <w:t>P</w:t>
      </w:r>
      <w:r w:rsidRPr="00ED534D">
        <w:rPr>
          <w:rFonts w:ascii="Palatino Linotype" w:hAnsi="Palatino Linotype"/>
          <w:vertAlign w:val="subscript"/>
        </w:rPr>
        <w:t>Today</w:t>
      </w:r>
      <w:r w:rsidRPr="00ED534D">
        <w:rPr>
          <w:rFonts w:ascii="Palatino Linotype" w:hAnsi="Palatino Linotype"/>
        </w:rPr>
        <w:t>/</w:t>
      </w:r>
      <w:r w:rsidRPr="00ED534D">
        <w:rPr>
          <w:rFonts w:ascii="Palatino Linotype" w:hAnsi="Palatino Linotype"/>
          <w:b/>
          <w:bCs/>
        </w:rPr>
        <w:t>P</w:t>
      </w:r>
      <w:r w:rsidRPr="00ED534D">
        <w:rPr>
          <w:rFonts w:ascii="Palatino Linotype" w:hAnsi="Palatino Linotype"/>
          <w:vertAlign w:val="subscript"/>
        </w:rPr>
        <w:t>Yesterday</w:t>
      </w:r>
      <w:r w:rsidRPr="00ED534D">
        <w:rPr>
          <w:rFonts w:ascii="Palatino Linotype" w:hAnsi="Palatino Linotype"/>
        </w:rPr>
        <w:t xml:space="preserve">) – 1 </w:t>
      </w:r>
    </w:p>
    <w:p w14:paraId="03A10C8D" w14:textId="2160764B" w:rsidR="00C128AF" w:rsidRPr="00ED534D" w:rsidRDefault="00C128AF" w:rsidP="0018631B">
      <w:pPr>
        <w:spacing w:after="0" w:line="240" w:lineRule="auto"/>
        <w:textAlignment w:val="baseline"/>
        <w:rPr>
          <w:rFonts w:ascii="Palatino Linotype" w:hAnsi="Palatino Linotype"/>
        </w:rPr>
      </w:pPr>
      <w:r w:rsidRPr="00ED534D">
        <w:rPr>
          <w:rFonts w:ascii="Palatino Linotype" w:hAnsi="Palatino Linotype"/>
        </w:rPr>
        <w:t xml:space="preserve">Where </w:t>
      </w:r>
      <w:r w:rsidR="00D9713B" w:rsidRPr="00ED534D">
        <w:rPr>
          <w:rFonts w:ascii="Palatino Linotype" w:hAnsi="Palatino Linotype"/>
        </w:rPr>
        <w:t>DR =</w:t>
      </w:r>
      <w:r w:rsidRPr="00ED534D">
        <w:rPr>
          <w:rFonts w:ascii="Palatino Linotype" w:hAnsi="Palatino Linotype"/>
        </w:rPr>
        <w:t xml:space="preserve"> Daily Returns and P = Price.</w:t>
      </w:r>
    </w:p>
    <w:p w14:paraId="65037E9C" w14:textId="521D21EE" w:rsidR="00324E74" w:rsidRPr="00ED534D" w:rsidRDefault="00324E74" w:rsidP="0018631B">
      <w:pPr>
        <w:spacing w:after="0" w:line="240" w:lineRule="auto"/>
        <w:textAlignment w:val="baseline"/>
        <w:rPr>
          <w:rFonts w:ascii="Palatino Linotype" w:hAnsi="Palatino Linotype"/>
        </w:rPr>
      </w:pPr>
    </w:p>
    <w:p w14:paraId="45498CFF" w14:textId="21801F50" w:rsidR="0018631B" w:rsidRPr="00ED534D" w:rsidRDefault="00324E74" w:rsidP="0018631B">
      <w:pPr>
        <w:spacing w:after="0" w:line="240" w:lineRule="auto"/>
        <w:textAlignment w:val="baseline"/>
        <w:rPr>
          <w:rFonts w:ascii="Palatino Linotype" w:hAnsi="Palatino Linotype"/>
        </w:rPr>
      </w:pPr>
      <w:r w:rsidRPr="00ED534D">
        <w:rPr>
          <w:rFonts w:ascii="Palatino Linotype" w:hAnsi="Palatino Linotype"/>
        </w:rPr>
        <w:t>Volatility is further calculated using standard deviation within a rolling window of the Daily return given by mathematical formula below</w:t>
      </w:r>
    </w:p>
    <w:p w14:paraId="4B3E0585" w14:textId="0A3616A3" w:rsidR="00D9713B" w:rsidRPr="00ED534D" w:rsidRDefault="00D9713B" w:rsidP="0018631B">
      <w:pPr>
        <w:spacing w:after="0" w:line="240" w:lineRule="auto"/>
        <w:textAlignment w:val="baseline"/>
        <w:rPr>
          <w:rFonts w:ascii="Palatino Linotype" w:hAnsi="Palatino Linotype"/>
        </w:rPr>
      </w:pPr>
      <w:r w:rsidRPr="00ED534D">
        <w:rPr>
          <w:rFonts w:ascii="Palatino Linotype" w:hAnsi="Palatino Linotype"/>
        </w:rPr>
        <w:t xml:space="preserve">  </w:t>
      </w:r>
      <w:r w:rsidRPr="00ED534D">
        <w:rPr>
          <w:rFonts w:ascii="Palatino Linotype" w:hAnsi="Palatino Linotype"/>
        </w:rPr>
        <w:tab/>
        <w:t xml:space="preserve">Volatility = </w:t>
      </w:r>
      <m:oMath>
        <m:rad>
          <m:radPr>
            <m:degHide m:val="1"/>
            <m:ctrlPr>
              <w:rPr>
                <w:rFonts w:ascii="Cambria Math" w:hAnsi="Cambria Math"/>
                <w:i/>
              </w:rPr>
            </m:ctrlPr>
          </m:radPr>
          <m:deg/>
          <m:e>
            <m:r>
              <w:rPr>
                <w:rFonts w:ascii="Cambria Math" w:hAnsi="Cambria Math"/>
              </w:rPr>
              <m:t>Daily Returns</m:t>
            </m:r>
          </m:e>
        </m:rad>
      </m:oMath>
      <w:r w:rsidRPr="00ED534D">
        <w:rPr>
          <w:rFonts w:ascii="Palatino Linotype" w:eastAsiaTheme="minorEastAsia" w:hAnsi="Palatino Linotype"/>
        </w:rPr>
        <w:t xml:space="preserve"> (over a given window)</w:t>
      </w:r>
    </w:p>
    <w:p w14:paraId="6E3EEBFB" w14:textId="3708A91D" w:rsidR="00D9713B" w:rsidRPr="00ED534D" w:rsidRDefault="00D9713B" w:rsidP="0018631B">
      <w:pPr>
        <w:spacing w:after="0" w:line="240" w:lineRule="auto"/>
        <w:textAlignment w:val="baseline"/>
        <w:rPr>
          <w:rFonts w:ascii="Palatino Linotype" w:hAnsi="Palatino Linotype"/>
        </w:rPr>
      </w:pPr>
      <w:r w:rsidRPr="00ED534D">
        <w:rPr>
          <w:rFonts w:ascii="Palatino Linotype" w:hAnsi="Palatino Linotype"/>
        </w:rPr>
        <w:t>In this project Volatility was calculated over a window of 21 days and given below is the graph for volatility</w:t>
      </w:r>
    </w:p>
    <w:p w14:paraId="58163297" w14:textId="77777777" w:rsidR="00D9713B" w:rsidRPr="00ED534D" w:rsidRDefault="00D9713B" w:rsidP="0018631B">
      <w:pPr>
        <w:spacing w:after="0" w:line="240" w:lineRule="auto"/>
        <w:textAlignment w:val="baseline"/>
        <w:rPr>
          <w:rFonts w:ascii="Palatino Linotype" w:hAnsi="Palatino Linotype"/>
        </w:rPr>
      </w:pPr>
    </w:p>
    <w:p w14:paraId="4293C5ED" w14:textId="2E07C3C6" w:rsidR="005C50A7" w:rsidRPr="00ED534D" w:rsidRDefault="00AD7B27" w:rsidP="0018631B">
      <w:pPr>
        <w:spacing w:after="0" w:line="240" w:lineRule="auto"/>
        <w:textAlignment w:val="baseline"/>
        <w:rPr>
          <w:rFonts w:ascii="Palatino Linotype" w:hAnsi="Palatino Linotype"/>
        </w:rPr>
      </w:pPr>
      <w:r w:rsidRPr="00ED534D">
        <w:rPr>
          <w:noProof/>
        </w:rPr>
        <w:drawing>
          <wp:inline distT="0" distB="0" distL="0" distR="0" wp14:anchorId="76EA47CD" wp14:editId="32C0EB18">
            <wp:extent cx="3849024" cy="25762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9334" cy="2609895"/>
                    </a:xfrm>
                    <a:prstGeom prst="rect">
                      <a:avLst/>
                    </a:prstGeom>
                  </pic:spPr>
                </pic:pic>
              </a:graphicData>
            </a:graphic>
          </wp:inline>
        </w:drawing>
      </w:r>
    </w:p>
    <w:p w14:paraId="7AEE446A" w14:textId="28CEE8AB" w:rsidR="00FC3DE8" w:rsidRDefault="00FC3DE8" w:rsidP="0018631B">
      <w:pPr>
        <w:spacing w:after="0" w:line="240" w:lineRule="auto"/>
        <w:textAlignment w:val="baseline"/>
        <w:rPr>
          <w:rFonts w:ascii="Palatino Linotype" w:hAnsi="Palatino Linotype"/>
        </w:rPr>
      </w:pPr>
    </w:p>
    <w:p w14:paraId="24C09DEC" w14:textId="0C772A40" w:rsidR="005E38D2" w:rsidRDefault="005E38D2" w:rsidP="0018631B">
      <w:pPr>
        <w:spacing w:after="0" w:line="240" w:lineRule="auto"/>
        <w:textAlignment w:val="baseline"/>
        <w:rPr>
          <w:rFonts w:ascii="Palatino Linotype" w:hAnsi="Palatino Linotype"/>
        </w:rPr>
      </w:pPr>
    </w:p>
    <w:p w14:paraId="529C7F9D" w14:textId="77777777" w:rsidR="005E38D2" w:rsidRPr="00ED534D" w:rsidRDefault="005E38D2" w:rsidP="0018631B">
      <w:pPr>
        <w:spacing w:after="0" w:line="240" w:lineRule="auto"/>
        <w:textAlignment w:val="baseline"/>
        <w:rPr>
          <w:rFonts w:ascii="Palatino Linotype" w:hAnsi="Palatino Linotype"/>
        </w:rPr>
      </w:pPr>
    </w:p>
    <w:p w14:paraId="660F6628" w14:textId="77777777" w:rsidR="00FC3DE8" w:rsidRPr="00ED534D" w:rsidRDefault="00FC3DE8" w:rsidP="0018631B">
      <w:pPr>
        <w:spacing w:after="0" w:line="240" w:lineRule="auto"/>
        <w:textAlignment w:val="baseline"/>
        <w:rPr>
          <w:rFonts w:ascii="Palatino Linotype" w:hAnsi="Palatino Linotype"/>
        </w:rPr>
      </w:pPr>
    </w:p>
    <w:p w14:paraId="0291642A" w14:textId="77777777" w:rsidR="005C50A7" w:rsidRPr="00ED534D" w:rsidRDefault="005C50A7" w:rsidP="0018631B">
      <w:pPr>
        <w:spacing w:after="0" w:line="240" w:lineRule="auto"/>
        <w:textAlignment w:val="baseline"/>
        <w:rPr>
          <w:rFonts w:ascii="Palatino Linotype" w:hAnsi="Palatino Linotype"/>
        </w:rPr>
      </w:pPr>
    </w:p>
    <w:p w14:paraId="6468D9E7" w14:textId="6384325D" w:rsidR="00AD7B27" w:rsidRPr="00ED534D" w:rsidRDefault="00AD7B27" w:rsidP="00EB6FFE">
      <w:pPr>
        <w:spacing w:line="240" w:lineRule="auto"/>
        <w:textAlignment w:val="baseline"/>
        <w:rPr>
          <w:rFonts w:ascii="Palatino Linotype" w:hAnsi="Palatino Linotype"/>
          <w:b/>
          <w:bCs/>
          <w:u w:val="single"/>
        </w:rPr>
      </w:pPr>
      <w:r w:rsidRPr="00ED534D">
        <w:rPr>
          <w:rFonts w:ascii="Palatino Linotype" w:hAnsi="Palatino Linotype"/>
          <w:b/>
          <w:bCs/>
          <w:u w:val="single"/>
        </w:rPr>
        <w:t xml:space="preserve">Indicator </w:t>
      </w:r>
      <w:r w:rsidRPr="00ED534D">
        <w:rPr>
          <w:rFonts w:ascii="Palatino Linotype" w:hAnsi="Palatino Linotype"/>
          <w:b/>
          <w:bCs/>
          <w:u w:val="single"/>
        </w:rPr>
        <w:t>5</w:t>
      </w:r>
      <w:r w:rsidRPr="00ED534D">
        <w:rPr>
          <w:rFonts w:ascii="Palatino Linotype" w:hAnsi="Palatino Linotype"/>
          <w:b/>
          <w:bCs/>
          <w:u w:val="single"/>
        </w:rPr>
        <w:t xml:space="preserve">:  </w:t>
      </w:r>
      <w:r w:rsidRPr="00ED534D">
        <w:rPr>
          <w:rFonts w:ascii="Palatino Linotype" w:hAnsi="Palatino Linotype"/>
          <w:b/>
          <w:bCs/>
          <w:u w:val="single"/>
        </w:rPr>
        <w:t>CCI</w:t>
      </w:r>
      <w:r w:rsidR="00EB6FFE" w:rsidRPr="00ED534D">
        <w:rPr>
          <w:rFonts w:ascii="Palatino Linotype" w:hAnsi="Palatino Linotype"/>
          <w:b/>
          <w:bCs/>
          <w:u w:val="single"/>
        </w:rPr>
        <w:t xml:space="preserve"> (</w:t>
      </w:r>
      <w:r w:rsidR="00EB6FFE" w:rsidRPr="00ED534D">
        <w:rPr>
          <w:rFonts w:ascii="Palatino Linotype" w:hAnsi="Palatino Linotype"/>
          <w:b/>
          <w:bCs/>
          <w:u w:val="single"/>
        </w:rPr>
        <w:t>Commodity Channel Index</w:t>
      </w:r>
      <w:r w:rsidR="00EB6FFE" w:rsidRPr="00ED534D">
        <w:rPr>
          <w:rFonts w:ascii="Palatino Linotype" w:hAnsi="Palatino Linotype"/>
          <w:b/>
          <w:bCs/>
          <w:u w:val="single"/>
        </w:rPr>
        <w:t>)</w:t>
      </w:r>
    </w:p>
    <w:p w14:paraId="29D9EBE8" w14:textId="55FFE9FC" w:rsidR="00E97193" w:rsidRPr="00ED534D" w:rsidRDefault="00EB6FFE" w:rsidP="00635EB9">
      <w:pPr>
        <w:spacing w:line="240" w:lineRule="auto"/>
        <w:textAlignment w:val="baseline"/>
        <w:rPr>
          <w:rFonts w:ascii="Palatino Linotype" w:hAnsi="Palatino Linotype"/>
        </w:rPr>
      </w:pPr>
      <w:r w:rsidRPr="00ED534D">
        <w:rPr>
          <w:rFonts w:ascii="Palatino Linotype" w:hAnsi="Palatino Linotype"/>
        </w:rPr>
        <w:t>Commodity Channel Index (CCI) is a versatile indicator that can be used to identify a new trend or warn of extreme conditions.</w:t>
      </w:r>
      <w:r w:rsidRPr="00ED534D">
        <w:rPr>
          <w:rFonts w:ascii="Georgia" w:hAnsi="Georgia"/>
          <w:color w:val="000000"/>
          <w:shd w:val="clear" w:color="auto" w:fill="FFFFFF"/>
        </w:rPr>
        <w:t xml:space="preserve"> </w:t>
      </w:r>
      <w:r w:rsidRPr="00ED534D">
        <w:rPr>
          <w:rFonts w:ascii="Palatino Linotype" w:hAnsi="Palatino Linotype"/>
        </w:rPr>
        <w:t>In general, CCI measures the current price level relative to an </w:t>
      </w:r>
      <w:hyperlink r:id="rId15" w:tooltip="technical_indicators:moving_averages" w:history="1">
        <w:r w:rsidRPr="00ED534D">
          <w:t>average</w:t>
        </w:r>
      </w:hyperlink>
      <w:r w:rsidRPr="00ED534D">
        <w:rPr>
          <w:rFonts w:ascii="Palatino Linotype" w:hAnsi="Palatino Linotype"/>
        </w:rPr>
        <w:t> price level over a given period of time. CCI is relatively high when prices are far above their average, but is relatively low when prices are far below their average. In this manner, CCI can be used to identify overbought and oversold levels.</w:t>
      </w:r>
      <w:r w:rsidR="00E761DD" w:rsidRPr="00ED534D">
        <w:rPr>
          <w:rFonts w:ascii="Palatino Linotype" w:hAnsi="Palatino Linotype"/>
        </w:rPr>
        <w:t xml:space="preserve"> </w:t>
      </w:r>
      <w:r w:rsidRPr="00ED534D">
        <w:rPr>
          <w:rFonts w:ascii="Palatino Linotype" w:hAnsi="Palatino Linotype"/>
        </w:rPr>
        <w:t xml:space="preserve">Positive value of CCI indicates that, prices are well above the average </w:t>
      </w:r>
      <w:r w:rsidR="00E97193" w:rsidRPr="00ED534D">
        <w:rPr>
          <w:rFonts w:ascii="Palatino Linotype" w:hAnsi="Palatino Linotype"/>
        </w:rPr>
        <w:t>whereas</w:t>
      </w:r>
      <w:r w:rsidRPr="00ED534D">
        <w:rPr>
          <w:rFonts w:ascii="Palatino Linotype" w:hAnsi="Palatino Linotype"/>
        </w:rPr>
        <w:t xml:space="preserve"> negative </w:t>
      </w:r>
      <w:r w:rsidRPr="00ED534D">
        <w:rPr>
          <w:rFonts w:ascii="Palatino Linotype" w:hAnsi="Palatino Linotype"/>
        </w:rPr>
        <w:t xml:space="preserve">CCI </w:t>
      </w:r>
      <w:r w:rsidRPr="00ED534D">
        <w:rPr>
          <w:rFonts w:ascii="Palatino Linotype" w:hAnsi="Palatino Linotype"/>
        </w:rPr>
        <w:t xml:space="preserve">indicates that </w:t>
      </w:r>
      <w:r w:rsidR="00E97193" w:rsidRPr="00ED534D">
        <w:rPr>
          <w:rFonts w:ascii="Palatino Linotype" w:hAnsi="Palatino Linotype"/>
        </w:rPr>
        <w:t>prices are below the average</w:t>
      </w:r>
    </w:p>
    <w:p w14:paraId="1D28C571" w14:textId="19F48210" w:rsidR="00E97193" w:rsidRPr="00ED534D" w:rsidRDefault="00E97193" w:rsidP="00AD7B27">
      <w:pPr>
        <w:spacing w:after="0" w:line="240" w:lineRule="auto"/>
        <w:textAlignment w:val="baseline"/>
        <w:rPr>
          <w:rFonts w:ascii="Palatino Linotype" w:hAnsi="Palatino Linotype"/>
        </w:rPr>
      </w:pPr>
      <w:r w:rsidRPr="00ED534D">
        <w:rPr>
          <w:rFonts w:ascii="Palatino Linotype" w:hAnsi="Palatino Linotype"/>
        </w:rPr>
        <w:t>CCI is calculated using the mathematical formula below</w:t>
      </w:r>
    </w:p>
    <w:p w14:paraId="542E61D3" w14:textId="77777777" w:rsidR="00E97193" w:rsidRPr="00ED534D" w:rsidRDefault="00E97193" w:rsidP="00AD7B27">
      <w:pPr>
        <w:spacing w:after="0" w:line="240" w:lineRule="auto"/>
        <w:textAlignment w:val="baseline"/>
        <w:rPr>
          <w:rFonts w:ascii="Palatino Linotype" w:hAnsi="Palatino Linotype"/>
        </w:rPr>
      </w:pPr>
    </w:p>
    <w:p w14:paraId="2A97EF38" w14:textId="34D78C1C" w:rsidR="002763EE" w:rsidRPr="00ED534D" w:rsidRDefault="002763EE" w:rsidP="002763EE">
      <w:pPr>
        <w:pStyle w:val="ListParagraph"/>
        <w:spacing w:after="0" w:line="240" w:lineRule="auto"/>
        <w:ind w:left="0"/>
        <w:textAlignment w:val="baseline"/>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pPr>
      <w:r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Commodity Channel Index</w:t>
      </w:r>
      <w:r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 xml:space="preserve"> </w:t>
      </w:r>
      <w:r w:rsidR="00E761DD"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 (</w:t>
      </w:r>
      <w:r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 xml:space="preserve">Prices – </w:t>
      </w:r>
      <w:r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Rolling Mean</w:t>
      </w:r>
      <w:r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w:t>
      </w:r>
      <w:r w:rsidR="005E38D2"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 (</w:t>
      </w:r>
      <w:r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2</w:t>
      </w:r>
      <w:r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.5</w:t>
      </w:r>
      <w:r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 xml:space="preserve"> * σ </w:t>
      </w:r>
      <w:r w:rsidRPr="00ED534D">
        <w:rPr>
          <w:rFonts w:ascii="Palatino Linotype" w:eastAsiaTheme="minorEastAsia" w:hAnsi="Palatino Linotype" w:cs="Times New Roman"/>
          <w:b/>
          <w:bCs/>
          <w:color w:val="000000" w:themeColor="text1"/>
          <w:spacing w:val="2"/>
          <w:kern w:val="16"/>
          <w:vertAlign w:val="subscript"/>
          <w14:ligatures w14:val="standardContextual"/>
          <w14:numForm w14:val="oldStyle"/>
          <w14:numSpacing w14:val="proportional"/>
        </w:rPr>
        <w:t>Prices</w:t>
      </w:r>
      <w:r w:rsidRPr="00ED534D">
        <w:rPr>
          <w:rFonts w:ascii="Palatino Linotype" w:eastAsiaTheme="minorEastAsia" w:hAnsi="Palatino Linotype" w:cs="Times New Roman"/>
          <w:b/>
          <w:bCs/>
          <w:color w:val="000000" w:themeColor="text1"/>
          <w:spacing w:val="2"/>
          <w:kern w:val="16"/>
          <w14:ligatures w14:val="standardContextual"/>
          <w14:numForm w14:val="oldStyle"/>
          <w14:numSpacing w14:val="proportional"/>
        </w:rPr>
        <w:t>)</w:t>
      </w:r>
    </w:p>
    <w:p w14:paraId="712E9F48" w14:textId="3C0A726D" w:rsidR="002763EE" w:rsidRPr="00ED534D" w:rsidRDefault="002763EE" w:rsidP="002763EE">
      <w:pPr>
        <w:pStyle w:val="ListParagraph"/>
        <w:spacing w:after="0" w:line="240" w:lineRule="auto"/>
        <w:ind w:left="0"/>
        <w:textAlignment w:val="baseline"/>
        <w:rPr>
          <w:rFonts w:ascii="Palatino Linotype" w:eastAsiaTheme="minorEastAsia" w:hAnsi="Palatino Linotype" w:cs="Times New Roman"/>
          <w:color w:val="000000" w:themeColor="text1"/>
          <w:spacing w:val="2"/>
          <w:kern w:val="16"/>
          <w14:ligatures w14:val="standardContextual"/>
          <w14:numForm w14:val="oldStyle"/>
          <w14:numSpacing w14:val="proportional"/>
        </w:rPr>
      </w:pP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Where </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 xml:space="preserve">σ </w:t>
      </w:r>
      <w:r w:rsidRPr="00ED534D">
        <w:rPr>
          <w:rFonts w:ascii="Palatino Linotype" w:eastAsiaTheme="minorEastAsia" w:hAnsi="Palatino Linotype" w:cs="Times New Roman"/>
          <w:color w:val="000000" w:themeColor="text1"/>
          <w:spacing w:val="2"/>
          <w:kern w:val="16"/>
          <w:vertAlign w:val="subscript"/>
          <w14:ligatures w14:val="standardContextual"/>
          <w14:numForm w14:val="oldStyle"/>
          <w14:numSpacing w14:val="proportional"/>
        </w:rPr>
        <w:t>Prices</w:t>
      </w:r>
      <w:r w:rsidRPr="00ED534D">
        <w:rPr>
          <w:rFonts w:ascii="Palatino Linotype" w:eastAsiaTheme="minorEastAsia" w:hAnsi="Palatino Linotype" w:cs="Times New Roman"/>
          <w:color w:val="000000" w:themeColor="text1"/>
          <w:spacing w:val="2"/>
          <w:kern w:val="16"/>
          <w:vertAlign w:val="subscript"/>
          <w14:ligatures w14:val="standardContextual"/>
          <w14:numForm w14:val="oldStyle"/>
          <w14:numSpacing w14:val="proportional"/>
        </w:rPr>
        <w:t xml:space="preserve"> </w:t>
      </w:r>
      <w:r w:rsidRPr="00ED534D">
        <w:rPr>
          <w:rFonts w:ascii="Palatino Linotype" w:eastAsiaTheme="minorEastAsia" w:hAnsi="Palatino Linotype" w:cs="Times New Roman"/>
          <w:color w:val="000000" w:themeColor="text1"/>
          <w:spacing w:val="2"/>
          <w:kern w:val="16"/>
          <w14:ligatures w14:val="standardContextual"/>
          <w14:numForm w14:val="oldStyle"/>
          <w14:numSpacing w14:val="proportional"/>
        </w:rPr>
        <w:t>is the standard deviation of the prices.</w:t>
      </w:r>
    </w:p>
    <w:p w14:paraId="6D80733B" w14:textId="77777777" w:rsidR="00EB6FFE" w:rsidRPr="00ED534D" w:rsidRDefault="00EB6FFE" w:rsidP="00AD7B27">
      <w:pPr>
        <w:spacing w:after="0" w:line="240" w:lineRule="auto"/>
        <w:textAlignment w:val="baseline"/>
        <w:rPr>
          <w:rFonts w:ascii="Palatino Linotype" w:hAnsi="Palatino Linotype"/>
        </w:rPr>
      </w:pPr>
    </w:p>
    <w:p w14:paraId="39E2DA08" w14:textId="4ED33681" w:rsidR="00AD7B27" w:rsidRPr="00ED534D" w:rsidRDefault="00AD7B27" w:rsidP="00AD7B27">
      <w:pPr>
        <w:spacing w:after="0" w:line="240" w:lineRule="auto"/>
        <w:textAlignment w:val="baseline"/>
        <w:rPr>
          <w:rFonts w:ascii="Palatino Linotype" w:hAnsi="Palatino Linotype"/>
        </w:rPr>
      </w:pPr>
    </w:p>
    <w:p w14:paraId="17DEC54A" w14:textId="3752BBDD" w:rsidR="00AD7B27" w:rsidRPr="00ED534D" w:rsidRDefault="00AD7B27" w:rsidP="005E38D2">
      <w:pPr>
        <w:spacing w:after="0" w:line="240" w:lineRule="auto"/>
        <w:ind w:left="180"/>
        <w:textAlignment w:val="baseline"/>
        <w:rPr>
          <w:rFonts w:ascii="Palatino Linotype" w:hAnsi="Palatino Linotype"/>
        </w:rPr>
      </w:pPr>
      <w:r w:rsidRPr="00ED534D">
        <w:rPr>
          <w:noProof/>
        </w:rPr>
        <w:drawing>
          <wp:inline distT="0" distB="0" distL="0" distR="0" wp14:anchorId="7BFDDBCF" wp14:editId="2D126C47">
            <wp:extent cx="3673502" cy="2549651"/>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5492" cy="2592676"/>
                    </a:xfrm>
                    <a:prstGeom prst="rect">
                      <a:avLst/>
                    </a:prstGeom>
                  </pic:spPr>
                </pic:pic>
              </a:graphicData>
            </a:graphic>
          </wp:inline>
        </w:drawing>
      </w:r>
    </w:p>
    <w:p w14:paraId="55AFA999" w14:textId="38EA67C9" w:rsidR="00AD7B27" w:rsidRPr="00ED534D" w:rsidRDefault="00AD7B27" w:rsidP="0018631B">
      <w:pPr>
        <w:spacing w:after="0" w:line="240" w:lineRule="auto"/>
        <w:textAlignment w:val="baseline"/>
        <w:rPr>
          <w:rFonts w:ascii="Palatino Linotype" w:hAnsi="Palatino Linotype"/>
        </w:rPr>
      </w:pPr>
    </w:p>
    <w:p w14:paraId="139C4A63" w14:textId="6DDE6C90" w:rsidR="000045EF" w:rsidRPr="00ED534D" w:rsidRDefault="000045EF" w:rsidP="0018631B">
      <w:pPr>
        <w:spacing w:after="0" w:line="240" w:lineRule="auto"/>
        <w:textAlignment w:val="baseline"/>
        <w:rPr>
          <w:rFonts w:ascii="Palatino Linotype" w:hAnsi="Palatino Linotype"/>
        </w:rPr>
      </w:pPr>
    </w:p>
    <w:p w14:paraId="08F7BDC9" w14:textId="23388A09" w:rsidR="000045EF" w:rsidRPr="00ED534D" w:rsidRDefault="000045EF" w:rsidP="0018631B">
      <w:pPr>
        <w:spacing w:after="0" w:line="240" w:lineRule="auto"/>
        <w:textAlignment w:val="baseline"/>
        <w:rPr>
          <w:rFonts w:ascii="Palatino Linotype" w:hAnsi="Palatino Linotype"/>
        </w:rPr>
      </w:pPr>
    </w:p>
    <w:p w14:paraId="4B142FB8" w14:textId="60778560" w:rsidR="000045EF" w:rsidRPr="00ED534D" w:rsidRDefault="000045EF" w:rsidP="0018631B">
      <w:pPr>
        <w:spacing w:after="0" w:line="240" w:lineRule="auto"/>
        <w:textAlignment w:val="baseline"/>
        <w:rPr>
          <w:rFonts w:ascii="Palatino Linotype" w:hAnsi="Palatino Linotype"/>
        </w:rPr>
      </w:pPr>
    </w:p>
    <w:p w14:paraId="6444A46A" w14:textId="38646FF8" w:rsidR="000045EF" w:rsidRPr="00ED534D" w:rsidRDefault="000045EF" w:rsidP="0018631B">
      <w:pPr>
        <w:spacing w:after="0" w:line="240" w:lineRule="auto"/>
        <w:textAlignment w:val="baseline"/>
        <w:rPr>
          <w:rFonts w:ascii="Palatino Linotype" w:hAnsi="Palatino Linotype"/>
        </w:rPr>
      </w:pPr>
    </w:p>
    <w:p w14:paraId="0028416F" w14:textId="2362E59D" w:rsidR="000045EF" w:rsidRPr="00ED534D" w:rsidRDefault="000045EF" w:rsidP="0018631B">
      <w:pPr>
        <w:spacing w:after="0" w:line="240" w:lineRule="auto"/>
        <w:textAlignment w:val="baseline"/>
        <w:rPr>
          <w:rFonts w:ascii="Palatino Linotype" w:hAnsi="Palatino Linotype"/>
        </w:rPr>
      </w:pPr>
    </w:p>
    <w:p w14:paraId="240F8AE9" w14:textId="0350CA77" w:rsidR="000045EF" w:rsidRPr="00ED534D" w:rsidRDefault="000045EF" w:rsidP="0018631B">
      <w:pPr>
        <w:spacing w:after="0" w:line="240" w:lineRule="auto"/>
        <w:textAlignment w:val="baseline"/>
        <w:rPr>
          <w:rFonts w:ascii="Palatino Linotype" w:hAnsi="Palatino Linotype"/>
        </w:rPr>
      </w:pPr>
    </w:p>
    <w:p w14:paraId="4D73E516" w14:textId="3D92E4A5" w:rsidR="000045EF" w:rsidRDefault="000045EF" w:rsidP="0018631B">
      <w:pPr>
        <w:spacing w:after="0" w:line="240" w:lineRule="auto"/>
        <w:textAlignment w:val="baseline"/>
        <w:rPr>
          <w:rFonts w:ascii="Palatino Linotype" w:hAnsi="Palatino Linotype"/>
        </w:rPr>
      </w:pPr>
    </w:p>
    <w:p w14:paraId="475A6A07" w14:textId="72A27172" w:rsidR="005E38D2" w:rsidRDefault="005E38D2" w:rsidP="0018631B">
      <w:pPr>
        <w:spacing w:after="0" w:line="240" w:lineRule="auto"/>
        <w:textAlignment w:val="baseline"/>
        <w:rPr>
          <w:rFonts w:ascii="Palatino Linotype" w:hAnsi="Palatino Linotype"/>
        </w:rPr>
      </w:pPr>
    </w:p>
    <w:p w14:paraId="5CE719A0" w14:textId="77777777" w:rsidR="005E38D2" w:rsidRPr="00ED534D" w:rsidRDefault="005E38D2" w:rsidP="0018631B">
      <w:pPr>
        <w:spacing w:after="0" w:line="240" w:lineRule="auto"/>
        <w:textAlignment w:val="baseline"/>
        <w:rPr>
          <w:rFonts w:ascii="Palatino Linotype" w:hAnsi="Palatino Linotype"/>
        </w:rPr>
      </w:pPr>
    </w:p>
    <w:p w14:paraId="11898732" w14:textId="77777777" w:rsidR="000045EF" w:rsidRPr="00ED534D" w:rsidRDefault="000045EF" w:rsidP="0018631B">
      <w:pPr>
        <w:spacing w:after="0" w:line="240" w:lineRule="auto"/>
        <w:textAlignment w:val="baseline"/>
        <w:rPr>
          <w:rFonts w:ascii="Palatino Linotype" w:hAnsi="Palatino Linotype"/>
        </w:rPr>
      </w:pPr>
    </w:p>
    <w:p w14:paraId="556C5AF6" w14:textId="371AAEFD" w:rsidR="000045EF" w:rsidRPr="00ED534D" w:rsidRDefault="000045EF" w:rsidP="000045EF">
      <w:pPr>
        <w:pStyle w:val="ListParagraph"/>
        <w:spacing w:after="0" w:line="340" w:lineRule="exact"/>
        <w:ind w:left="0"/>
        <w:contextualSpacing w:val="0"/>
        <w:jc w:val="both"/>
        <w:rPr>
          <w:rFonts w:ascii="Palatino Linotype" w:eastAsia="Times New Roman" w:hAnsi="Palatino Linotype" w:cs="Times New Roman"/>
          <w:b/>
          <w:bCs/>
          <w:spacing w:val="2"/>
          <w:kern w:val="16"/>
          <w:u w:val="single"/>
          <w14:ligatures w14:val="standardContextual"/>
          <w14:numForm w14:val="oldStyle"/>
          <w14:numSpacing w14:val="proportional"/>
        </w:rPr>
      </w:pPr>
      <w:r w:rsidRPr="00ED534D">
        <w:rPr>
          <w:rFonts w:ascii="Palatino Linotype" w:eastAsia="Times New Roman" w:hAnsi="Palatino Linotype" w:cs="Times New Roman"/>
          <w:b/>
          <w:bCs/>
          <w:spacing w:val="2"/>
          <w:kern w:val="16"/>
          <w:u w:val="single"/>
          <w14:ligatures w14:val="standardContextual"/>
          <w14:numForm w14:val="oldStyle"/>
          <w14:numSpacing w14:val="proportional"/>
        </w:rPr>
        <w:lastRenderedPageBreak/>
        <w:t xml:space="preserve">Question </w:t>
      </w:r>
      <w:r w:rsidRPr="00ED534D">
        <w:rPr>
          <w:rFonts w:ascii="Palatino Linotype" w:eastAsia="Times New Roman" w:hAnsi="Palatino Linotype" w:cs="Times New Roman"/>
          <w:b/>
          <w:bCs/>
          <w:spacing w:val="2"/>
          <w:kern w:val="16"/>
          <w:u w:val="single"/>
          <w14:ligatures w14:val="standardContextual"/>
          <w14:numForm w14:val="oldStyle"/>
          <w14:numSpacing w14:val="proportional"/>
        </w:rPr>
        <w:t>2</w:t>
      </w:r>
      <w:r w:rsidRPr="00ED534D">
        <w:rPr>
          <w:rFonts w:ascii="Palatino Linotype" w:eastAsia="Times New Roman" w:hAnsi="Palatino Linotype" w:cs="Times New Roman"/>
          <w:b/>
          <w:bCs/>
          <w:spacing w:val="2"/>
          <w:kern w:val="16"/>
          <w:u w:val="single"/>
          <w14:ligatures w14:val="standardContextual"/>
          <w14:numForm w14:val="oldStyle"/>
          <w14:numSpacing w14:val="proportional"/>
        </w:rPr>
        <w:t xml:space="preserve">: </w:t>
      </w:r>
      <w:r w:rsidRPr="00ED534D">
        <w:rPr>
          <w:rFonts w:ascii="Palatino Linotype" w:eastAsia="Times New Roman" w:hAnsi="Palatino Linotype" w:cs="Times New Roman"/>
          <w:b/>
          <w:bCs/>
          <w:spacing w:val="2"/>
          <w:kern w:val="16"/>
          <w:u w:val="single"/>
          <w14:ligatures w14:val="standardContextual"/>
          <w14:numForm w14:val="oldStyle"/>
          <w14:numSpacing w14:val="proportional"/>
        </w:rPr>
        <w:t>Theoretically Optimal Strategy</w:t>
      </w:r>
      <w:r w:rsidR="001B6E37" w:rsidRPr="00ED534D">
        <w:rPr>
          <w:rFonts w:ascii="Palatino Linotype" w:eastAsia="Times New Roman" w:hAnsi="Palatino Linotype" w:cs="Times New Roman"/>
          <w:b/>
          <w:bCs/>
          <w:spacing w:val="2"/>
          <w:kern w:val="16"/>
          <w:u w:val="single"/>
          <w14:ligatures w14:val="standardContextual"/>
          <w14:numForm w14:val="oldStyle"/>
          <w14:numSpacing w14:val="proportional"/>
        </w:rPr>
        <w:t xml:space="preserve"> (TOS)</w:t>
      </w:r>
    </w:p>
    <w:p w14:paraId="62633910" w14:textId="77777777" w:rsidR="000045EF" w:rsidRPr="00ED534D" w:rsidRDefault="000045EF" w:rsidP="000045EF">
      <w:pPr>
        <w:spacing w:after="0" w:line="240" w:lineRule="auto"/>
        <w:textAlignment w:val="baseline"/>
        <w:rPr>
          <w:rFonts w:ascii="Palatino Linotype" w:hAnsi="Palatino Linotype"/>
          <w:b/>
          <w:bCs/>
        </w:rPr>
      </w:pPr>
      <w:r w:rsidRPr="00ED534D">
        <w:rPr>
          <w:rFonts w:ascii="Palatino Linotype" w:hAnsi="Palatino Linotype"/>
          <w:b/>
          <w:bCs/>
        </w:rPr>
        <w:t>Answer:</w:t>
      </w:r>
    </w:p>
    <w:p w14:paraId="4D163492" w14:textId="77777777" w:rsidR="00956FD8" w:rsidRPr="00ED534D" w:rsidRDefault="000045EF" w:rsidP="000045EF">
      <w:pPr>
        <w:pStyle w:val="ListParagraph"/>
        <w:spacing w:after="0" w:line="340" w:lineRule="exact"/>
        <w:ind w:left="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ED534D">
        <w:rPr>
          <w:rFonts w:ascii="Palatino Linotype" w:eastAsia="Times New Roman" w:hAnsi="Palatino Linotype" w:cs="Times New Roman"/>
          <w:spacing w:val="2"/>
          <w:kern w:val="16"/>
          <w14:ligatures w14:val="standardContextual"/>
          <w14:numForm w14:val="oldStyle"/>
          <w14:numSpacing w14:val="proportional"/>
        </w:rPr>
        <w:t xml:space="preserve">The Theoretically Optimal strategy was built on an assumption that we can peek into the future which is a big assumption. The idea of this strategy was to look at two prices i.e. today’s price and tomorrow’s price and take the ratio of the former with latter and subtract it by 1. This calculated price was called as adjusted price in the code. </w:t>
      </w:r>
      <w:r w:rsidR="00956FD8" w:rsidRPr="00ED534D">
        <w:rPr>
          <w:rFonts w:ascii="Palatino Linotype" w:eastAsia="Times New Roman" w:hAnsi="Palatino Linotype" w:cs="Times New Roman"/>
          <w:spacing w:val="2"/>
          <w:kern w:val="16"/>
          <w14:ligatures w14:val="standardContextual"/>
          <w14:numForm w14:val="oldStyle"/>
          <w14:numSpacing w14:val="proportional"/>
        </w:rPr>
        <w:t xml:space="preserve"> </w:t>
      </w:r>
    </w:p>
    <w:p w14:paraId="6CCBB052" w14:textId="32B8C9D0" w:rsidR="00956FD8" w:rsidRPr="00ED534D" w:rsidRDefault="00956FD8" w:rsidP="000045EF">
      <w:pPr>
        <w:pStyle w:val="ListParagraph"/>
        <w:spacing w:after="0" w:line="340" w:lineRule="exact"/>
        <w:ind w:left="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ED534D">
        <w:rPr>
          <w:rFonts w:ascii="Palatino Linotype" w:eastAsia="Times New Roman" w:hAnsi="Palatino Linotype" w:cs="Times New Roman"/>
          <w:spacing w:val="2"/>
          <w:kern w:val="16"/>
          <w14:ligatures w14:val="standardContextual"/>
          <w14:numForm w14:val="oldStyle"/>
          <w14:numSpacing w14:val="proportional"/>
        </w:rPr>
        <w:t>Now we were constrained by the portfolio size and order limits where we were only allowed three states i.e. Buy 1000 shares (+1000) or Sell 1000 shares (-1000) or do nothing. (0.00)</w:t>
      </w:r>
    </w:p>
    <w:p w14:paraId="630D74EA" w14:textId="728953DF" w:rsidR="00956FD8" w:rsidRPr="00ED534D" w:rsidRDefault="007937CF" w:rsidP="000045EF">
      <w:pPr>
        <w:pStyle w:val="ListParagraph"/>
        <w:spacing w:after="0" w:line="340" w:lineRule="exact"/>
        <w:ind w:left="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ED534D">
        <w:rPr>
          <w:rFonts w:ascii="Palatino Linotype" w:eastAsia="Times New Roman" w:hAnsi="Palatino Linotype" w:cs="Times New Roman"/>
          <w:spacing w:val="2"/>
          <w:kern w:val="16"/>
          <w14:ligatures w14:val="standardContextual"/>
          <w14:numForm w14:val="oldStyle"/>
          <w14:numSpacing w14:val="proportional"/>
        </w:rPr>
        <w:t>So,</w:t>
      </w:r>
      <w:r w:rsidR="00956FD8" w:rsidRPr="00ED534D">
        <w:rPr>
          <w:rFonts w:ascii="Palatino Linotype" w:eastAsia="Times New Roman" w:hAnsi="Palatino Linotype" w:cs="Times New Roman"/>
          <w:spacing w:val="2"/>
          <w:kern w:val="16"/>
          <w14:ligatures w14:val="standardContextual"/>
          <w14:numForm w14:val="oldStyle"/>
          <w14:numSpacing w14:val="proportional"/>
        </w:rPr>
        <w:t xml:space="preserve"> if</w:t>
      </w:r>
      <w:r w:rsidR="000045EF" w:rsidRPr="00ED534D">
        <w:rPr>
          <w:rFonts w:ascii="Palatino Linotype" w:eastAsia="Times New Roman" w:hAnsi="Palatino Linotype" w:cs="Times New Roman"/>
          <w:spacing w:val="2"/>
          <w:kern w:val="16"/>
          <w14:ligatures w14:val="standardContextual"/>
          <w14:numForm w14:val="oldStyle"/>
          <w14:numSpacing w14:val="proportional"/>
        </w:rPr>
        <w:t xml:space="preserve"> the value of the adjusted price is negative then it means that today’s price is lo</w:t>
      </w:r>
      <w:r w:rsidR="00956FD8" w:rsidRPr="00ED534D">
        <w:rPr>
          <w:rFonts w:ascii="Palatino Linotype" w:eastAsia="Times New Roman" w:hAnsi="Palatino Linotype" w:cs="Times New Roman"/>
          <w:spacing w:val="2"/>
          <w:kern w:val="16"/>
          <w14:ligatures w14:val="standardContextual"/>
          <w14:numForm w14:val="oldStyle"/>
          <w14:numSpacing w14:val="proportional"/>
        </w:rPr>
        <w:t>wer</w:t>
      </w:r>
      <w:r w:rsidR="000045EF" w:rsidRPr="00ED534D">
        <w:rPr>
          <w:rFonts w:ascii="Palatino Linotype" w:eastAsia="Times New Roman" w:hAnsi="Palatino Linotype" w:cs="Times New Roman"/>
          <w:spacing w:val="2"/>
          <w:kern w:val="16"/>
          <w14:ligatures w14:val="standardContextual"/>
          <w14:numForm w14:val="oldStyle"/>
          <w14:numSpacing w14:val="proportional"/>
        </w:rPr>
        <w:t xml:space="preserve"> than tomorrow’s price</w:t>
      </w:r>
      <w:r w:rsidR="00956FD8" w:rsidRPr="00ED534D">
        <w:rPr>
          <w:rFonts w:ascii="Palatino Linotype" w:eastAsia="Times New Roman" w:hAnsi="Palatino Linotype" w:cs="Times New Roman"/>
          <w:spacing w:val="2"/>
          <w:kern w:val="16"/>
          <w14:ligatures w14:val="standardContextual"/>
          <w14:numForm w14:val="oldStyle"/>
          <w14:numSpacing w14:val="proportional"/>
        </w:rPr>
        <w:t xml:space="preserve"> and we should buy </w:t>
      </w:r>
      <w:r w:rsidRPr="00ED534D">
        <w:rPr>
          <w:rFonts w:ascii="Palatino Linotype" w:eastAsia="Times New Roman" w:hAnsi="Palatino Linotype" w:cs="Times New Roman"/>
          <w:spacing w:val="2"/>
          <w:kern w:val="16"/>
          <w14:ligatures w14:val="standardContextual"/>
          <w14:numForm w14:val="oldStyle"/>
          <w14:numSpacing w14:val="proportional"/>
        </w:rPr>
        <w:t>1000</w:t>
      </w:r>
      <w:r w:rsidR="00956FD8" w:rsidRPr="00ED534D">
        <w:rPr>
          <w:rFonts w:ascii="Palatino Linotype" w:eastAsia="Times New Roman" w:hAnsi="Palatino Linotype" w:cs="Times New Roman"/>
          <w:spacing w:val="2"/>
          <w:kern w:val="16"/>
          <w14:ligatures w14:val="standardContextual"/>
          <w14:numForm w14:val="oldStyle"/>
          <w14:numSpacing w14:val="proportional"/>
        </w:rPr>
        <w:t xml:space="preserve"> </w:t>
      </w:r>
      <w:r w:rsidRPr="00ED534D">
        <w:rPr>
          <w:rFonts w:ascii="Palatino Linotype" w:eastAsia="Times New Roman" w:hAnsi="Palatino Linotype" w:cs="Times New Roman"/>
          <w:spacing w:val="2"/>
          <w:kern w:val="16"/>
          <w14:ligatures w14:val="standardContextual"/>
          <w14:numForm w14:val="oldStyle"/>
          <w14:numSpacing w14:val="proportional"/>
        </w:rPr>
        <w:t>shares</w:t>
      </w:r>
      <w:r w:rsidR="00956FD8" w:rsidRPr="00ED534D">
        <w:rPr>
          <w:rFonts w:ascii="Palatino Linotype" w:eastAsia="Times New Roman" w:hAnsi="Palatino Linotype" w:cs="Times New Roman"/>
          <w:spacing w:val="2"/>
          <w:kern w:val="16"/>
          <w14:ligatures w14:val="standardContextual"/>
          <w14:numForm w14:val="oldStyle"/>
          <w14:numSpacing w14:val="proportional"/>
        </w:rPr>
        <w:t xml:space="preserve"> today </w:t>
      </w:r>
      <w:r w:rsidRPr="00ED534D">
        <w:rPr>
          <w:rFonts w:ascii="Palatino Linotype" w:eastAsia="Times New Roman" w:hAnsi="Palatino Linotype" w:cs="Times New Roman"/>
          <w:spacing w:val="2"/>
          <w:kern w:val="16"/>
          <w14:ligatures w14:val="standardContextual"/>
          <w14:numForm w14:val="oldStyle"/>
          <w14:numSpacing w14:val="proportional"/>
        </w:rPr>
        <w:t>and sell 1000 shares tomorrow</w:t>
      </w:r>
    </w:p>
    <w:p w14:paraId="719DA19C" w14:textId="756850E5" w:rsidR="000045EF" w:rsidRPr="00ED534D" w:rsidRDefault="00956FD8" w:rsidP="000045EF">
      <w:pPr>
        <w:pStyle w:val="ListParagraph"/>
        <w:spacing w:after="0" w:line="340" w:lineRule="exact"/>
        <w:ind w:left="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ED534D">
        <w:rPr>
          <w:rFonts w:ascii="Palatino Linotype" w:eastAsia="Times New Roman" w:hAnsi="Palatino Linotype" w:cs="Times New Roman"/>
          <w:spacing w:val="2"/>
          <w:kern w:val="16"/>
          <w14:ligatures w14:val="standardContextual"/>
          <w14:numForm w14:val="oldStyle"/>
          <w14:numSpacing w14:val="proportional"/>
        </w:rPr>
        <w:t xml:space="preserve">and if </w:t>
      </w:r>
      <w:r w:rsidRPr="00ED534D">
        <w:rPr>
          <w:rFonts w:ascii="Palatino Linotype" w:eastAsia="Times New Roman" w:hAnsi="Palatino Linotype" w:cs="Times New Roman"/>
          <w:spacing w:val="2"/>
          <w:kern w:val="16"/>
          <w14:ligatures w14:val="standardContextual"/>
          <w14:numForm w14:val="oldStyle"/>
          <w14:numSpacing w14:val="proportional"/>
        </w:rPr>
        <w:t xml:space="preserve">adjusted price is </w:t>
      </w:r>
      <w:r w:rsidRPr="00ED534D">
        <w:rPr>
          <w:rFonts w:ascii="Palatino Linotype" w:eastAsia="Times New Roman" w:hAnsi="Palatino Linotype" w:cs="Times New Roman"/>
          <w:spacing w:val="2"/>
          <w:kern w:val="16"/>
          <w14:ligatures w14:val="standardContextual"/>
          <w14:numForm w14:val="oldStyle"/>
          <w14:numSpacing w14:val="proportional"/>
        </w:rPr>
        <w:t xml:space="preserve">positive then it means today’s price is higher than tomorrow price, so we should sell </w:t>
      </w:r>
      <w:r w:rsidR="007937CF" w:rsidRPr="00ED534D">
        <w:rPr>
          <w:rFonts w:ascii="Palatino Linotype" w:eastAsia="Times New Roman" w:hAnsi="Palatino Linotype" w:cs="Times New Roman"/>
          <w:spacing w:val="2"/>
          <w:kern w:val="16"/>
          <w14:ligatures w14:val="standardContextual"/>
          <w14:numForm w14:val="oldStyle"/>
          <w14:numSpacing w14:val="proportional"/>
        </w:rPr>
        <w:t>1000 shares today and buy 1000 shares tomorrow.</w:t>
      </w:r>
    </w:p>
    <w:p w14:paraId="7E9A4F7F" w14:textId="44BBDA6E" w:rsidR="000045EF" w:rsidRPr="00ED534D" w:rsidRDefault="007937CF" w:rsidP="000045EF">
      <w:pPr>
        <w:pStyle w:val="ListParagraph"/>
        <w:spacing w:after="0" w:line="340" w:lineRule="exact"/>
        <w:ind w:left="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ED534D">
        <w:rPr>
          <w:rFonts w:ascii="Palatino Linotype" w:eastAsia="Times New Roman" w:hAnsi="Palatino Linotype" w:cs="Times New Roman"/>
          <w:spacing w:val="2"/>
          <w:kern w:val="16"/>
          <w14:ligatures w14:val="standardContextual"/>
          <w14:numForm w14:val="oldStyle"/>
          <w14:numSpacing w14:val="proportional"/>
        </w:rPr>
        <w:t xml:space="preserve">In order to implement this </w:t>
      </w:r>
      <w:r w:rsidR="003D2E27" w:rsidRPr="00ED534D">
        <w:rPr>
          <w:rFonts w:ascii="Palatino Linotype" w:eastAsia="Times New Roman" w:hAnsi="Palatino Linotype" w:cs="Times New Roman"/>
          <w:spacing w:val="2"/>
          <w:kern w:val="16"/>
          <w14:ligatures w14:val="standardContextual"/>
          <w14:numForm w14:val="oldStyle"/>
          <w14:numSpacing w14:val="proportional"/>
        </w:rPr>
        <w:t>strategy,</w:t>
      </w:r>
      <w:r w:rsidRPr="00ED534D">
        <w:rPr>
          <w:rFonts w:ascii="Palatino Linotype" w:eastAsia="Times New Roman" w:hAnsi="Palatino Linotype" w:cs="Times New Roman"/>
          <w:spacing w:val="2"/>
          <w:kern w:val="16"/>
          <w14:ligatures w14:val="standardContextual"/>
          <w14:numForm w14:val="oldStyle"/>
          <w14:numSpacing w14:val="proportional"/>
        </w:rPr>
        <w:t xml:space="preserve"> I first imported prices of JPM stock and adjusted prices were calculated. Based on the adjust price, I perform the transaction or BUY or </w:t>
      </w:r>
      <w:r w:rsidR="003D2E27" w:rsidRPr="00ED534D">
        <w:rPr>
          <w:rFonts w:ascii="Palatino Linotype" w:eastAsia="Times New Roman" w:hAnsi="Palatino Linotype" w:cs="Times New Roman"/>
          <w:spacing w:val="2"/>
          <w:kern w:val="16"/>
          <w14:ligatures w14:val="standardContextual"/>
          <w14:numForm w14:val="oldStyle"/>
          <w14:numSpacing w14:val="proportional"/>
        </w:rPr>
        <w:t>SELL and</w:t>
      </w:r>
      <w:r w:rsidRPr="00ED534D">
        <w:rPr>
          <w:rFonts w:ascii="Palatino Linotype" w:eastAsia="Times New Roman" w:hAnsi="Palatino Linotype" w:cs="Times New Roman"/>
          <w:spacing w:val="2"/>
          <w:kern w:val="16"/>
          <w14:ligatures w14:val="standardContextual"/>
          <w14:numForm w14:val="oldStyle"/>
          <w14:numSpacing w14:val="proportional"/>
        </w:rPr>
        <w:t xml:space="preserve"> </w:t>
      </w:r>
      <w:r w:rsidR="003D2E27" w:rsidRPr="00ED534D">
        <w:rPr>
          <w:rFonts w:ascii="Palatino Linotype" w:eastAsia="Times New Roman" w:hAnsi="Palatino Linotype" w:cs="Times New Roman"/>
          <w:spacing w:val="2"/>
          <w:kern w:val="16"/>
          <w14:ligatures w14:val="standardContextual"/>
          <w14:numForm w14:val="oldStyle"/>
          <w14:numSpacing w14:val="proportional"/>
        </w:rPr>
        <w:t xml:space="preserve">store the data into a dataframe. Using that dataframe I calculate portval, cumulative </w:t>
      </w:r>
      <w:r w:rsidR="001B6E37" w:rsidRPr="00ED534D">
        <w:rPr>
          <w:rFonts w:ascii="Palatino Linotype" w:eastAsia="Times New Roman" w:hAnsi="Palatino Linotype" w:cs="Times New Roman"/>
          <w:spacing w:val="2"/>
          <w:kern w:val="16"/>
          <w14:ligatures w14:val="standardContextual"/>
          <w14:numForm w14:val="oldStyle"/>
          <w14:numSpacing w14:val="proportional"/>
        </w:rPr>
        <w:t>return,</w:t>
      </w:r>
      <w:r w:rsidR="003D2E27" w:rsidRPr="00ED534D">
        <w:rPr>
          <w:rFonts w:ascii="Palatino Linotype" w:eastAsia="Times New Roman" w:hAnsi="Palatino Linotype" w:cs="Times New Roman"/>
          <w:spacing w:val="2"/>
          <w:kern w:val="16"/>
          <w14:ligatures w14:val="standardContextual"/>
          <w14:numForm w14:val="oldStyle"/>
          <w14:numSpacing w14:val="proportional"/>
        </w:rPr>
        <w:t xml:space="preserve"> average daily return and standard deviation of daily return.</w:t>
      </w:r>
    </w:p>
    <w:p w14:paraId="19ED70C0" w14:textId="77777777" w:rsidR="007937CF" w:rsidRPr="00ED534D" w:rsidRDefault="007937CF" w:rsidP="000045EF">
      <w:pPr>
        <w:pStyle w:val="ListParagraph"/>
        <w:spacing w:after="0" w:line="340" w:lineRule="exact"/>
        <w:ind w:left="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p>
    <w:p w14:paraId="461C31CC" w14:textId="77777777" w:rsidR="001B6E37" w:rsidRPr="00ED534D" w:rsidRDefault="001B6E37" w:rsidP="000045EF">
      <w:pPr>
        <w:pStyle w:val="ListParagraph"/>
        <w:spacing w:after="0" w:line="340" w:lineRule="exact"/>
        <w:ind w:left="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ED534D">
        <w:rPr>
          <w:rFonts w:ascii="Palatino Linotype" w:eastAsia="Times New Roman" w:hAnsi="Palatino Linotype" w:cs="Times New Roman"/>
          <w:spacing w:val="2"/>
          <w:kern w:val="16"/>
          <w14:ligatures w14:val="standardContextual"/>
          <w14:numForm w14:val="oldStyle"/>
          <w14:numSpacing w14:val="proportional"/>
        </w:rPr>
        <w:t xml:space="preserve">In order to compare Benchmark with TOS, we first defined Benchmark. </w:t>
      </w:r>
    </w:p>
    <w:p w14:paraId="7AAFD2A0" w14:textId="3E063BDB" w:rsidR="000045EF" w:rsidRPr="00ED534D" w:rsidRDefault="001B6E37" w:rsidP="000045EF">
      <w:pPr>
        <w:pStyle w:val="ListParagraph"/>
        <w:spacing w:after="0" w:line="340" w:lineRule="exact"/>
        <w:ind w:left="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ED534D">
        <w:rPr>
          <w:rFonts w:ascii="Palatino Linotype" w:eastAsia="Times New Roman" w:hAnsi="Palatino Linotype" w:cs="Times New Roman"/>
          <w:spacing w:val="2"/>
          <w:kern w:val="16"/>
          <w14:ligatures w14:val="standardContextual"/>
          <w14:numForm w14:val="oldStyle"/>
          <w14:numSpacing w14:val="proportional"/>
        </w:rPr>
        <w:t>Benchmark as the name suggests, is to set a threshold that needs to be attained atleast as a trading strategy. Benchmark in this project is performance of a portfolio starting at $100000 cash and investing 1000 shares of JPM shares and holding that position. At the beginning as demanded in this project, it is normalized at 1.0 at start.</w:t>
      </w:r>
    </w:p>
    <w:p w14:paraId="53264A9D" w14:textId="0856EB3F" w:rsidR="00AD7B27" w:rsidRPr="00ED534D" w:rsidRDefault="00AD7B27" w:rsidP="0018631B">
      <w:pPr>
        <w:spacing w:after="0" w:line="240" w:lineRule="auto"/>
        <w:textAlignment w:val="baseline"/>
        <w:rPr>
          <w:rFonts w:ascii="Palatino Linotype" w:hAnsi="Palatino Linotype"/>
        </w:rPr>
      </w:pPr>
    </w:p>
    <w:p w14:paraId="098B8D08" w14:textId="57BBA81E" w:rsidR="001B6E37" w:rsidRPr="00ED534D" w:rsidRDefault="001B6E37" w:rsidP="00ED534D">
      <w:pPr>
        <w:pStyle w:val="ListParagraph"/>
        <w:spacing w:after="0" w:line="340" w:lineRule="exact"/>
        <w:ind w:left="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sidRPr="00ED534D">
        <w:rPr>
          <w:rFonts w:ascii="Palatino Linotype" w:eastAsia="Times New Roman" w:hAnsi="Palatino Linotype" w:cs="Times New Roman"/>
          <w:spacing w:val="2"/>
          <w:kern w:val="16"/>
          <w14:ligatures w14:val="standardContextual"/>
          <w14:numForm w14:val="oldStyle"/>
          <w14:numSpacing w14:val="proportional"/>
        </w:rPr>
        <w:t xml:space="preserve">Benchmark was compared with TOS and chart of comparison is shown in next page below. Looking at the chart, we can clearly see that the Theoretically Optimal Strategy we defined </w:t>
      </w:r>
      <w:r w:rsidR="00ED534D" w:rsidRPr="00ED534D">
        <w:rPr>
          <w:rFonts w:ascii="Palatino Linotype" w:eastAsia="Times New Roman" w:hAnsi="Palatino Linotype" w:cs="Times New Roman"/>
          <w:spacing w:val="2"/>
          <w:kern w:val="16"/>
          <w14:ligatures w14:val="standardContextual"/>
          <w14:numForm w14:val="oldStyle"/>
          <w14:numSpacing w14:val="proportional"/>
        </w:rPr>
        <w:t>outperforms Benchmark by almost 7 times the normalized value of the portfolio.</w:t>
      </w:r>
    </w:p>
    <w:p w14:paraId="7908965F" w14:textId="10331980" w:rsidR="0018631B" w:rsidRPr="00ED534D" w:rsidRDefault="0018631B" w:rsidP="0018631B">
      <w:pPr>
        <w:keepNext/>
        <w:ind w:left="-360"/>
        <w:rPr>
          <w:rFonts w:ascii="Palatino Linotype" w:hAnsi="Palatino Linotype"/>
          <w:b/>
          <w:bCs/>
        </w:rPr>
      </w:pPr>
    </w:p>
    <w:p w14:paraId="13660E48" w14:textId="12EEEFEA" w:rsidR="001B6E37" w:rsidRPr="00ED534D" w:rsidRDefault="001B6E37" w:rsidP="0018631B">
      <w:pPr>
        <w:keepNext/>
        <w:ind w:left="-360"/>
        <w:rPr>
          <w:rFonts w:ascii="Palatino Linotype" w:hAnsi="Palatino Linotype"/>
          <w:b/>
          <w:bCs/>
        </w:rPr>
      </w:pPr>
      <w:r w:rsidRPr="00ED534D">
        <w:rPr>
          <w:noProof/>
        </w:rPr>
        <w:drawing>
          <wp:inline distT="0" distB="0" distL="0" distR="0" wp14:anchorId="73769B27" wp14:editId="49040002">
            <wp:extent cx="3339548" cy="275335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6882" cy="2767642"/>
                    </a:xfrm>
                    <a:prstGeom prst="rect">
                      <a:avLst/>
                    </a:prstGeom>
                  </pic:spPr>
                </pic:pic>
              </a:graphicData>
            </a:graphic>
          </wp:inline>
        </w:drawing>
      </w:r>
    </w:p>
    <w:p w14:paraId="12D4C3FE" w14:textId="47408A95" w:rsidR="0018631B" w:rsidRDefault="0018631B" w:rsidP="0018631B">
      <w:pPr>
        <w:keepNext/>
        <w:ind w:left="-360"/>
        <w:rPr>
          <w:rFonts w:ascii="Palatino Linotype" w:hAnsi="Palatino Linotype"/>
          <w:b/>
          <w:bCs/>
        </w:rPr>
      </w:pPr>
    </w:p>
    <w:p w14:paraId="121150A5" w14:textId="4452FB6A" w:rsidR="00ED534D" w:rsidRDefault="00ED534D" w:rsidP="0018631B">
      <w:pPr>
        <w:keepNext/>
        <w:ind w:left="-360"/>
        <w:rPr>
          <w:rFonts w:ascii="Palatino Linotype" w:hAnsi="Palatino Linotype"/>
        </w:rPr>
      </w:pPr>
      <w:r w:rsidRPr="00ED534D">
        <w:rPr>
          <w:rFonts w:ascii="Palatino Linotype" w:hAnsi="Palatino Linotype"/>
        </w:rPr>
        <w:t>Given below are the performance statistics</w:t>
      </w:r>
      <w:r>
        <w:rPr>
          <w:rFonts w:ascii="Palatino Linotype" w:hAnsi="Palatino Linotype"/>
        </w:rPr>
        <w:t xml:space="preserve"> of Benchmark and TOS stocks.</w:t>
      </w:r>
    </w:p>
    <w:p w14:paraId="3E83FDA1" w14:textId="7EA58764" w:rsidR="00ED534D" w:rsidRPr="00ED534D" w:rsidRDefault="00ED534D" w:rsidP="0018631B">
      <w:pPr>
        <w:keepNext/>
        <w:ind w:left="-360"/>
        <w:rPr>
          <w:rFonts w:ascii="Palatino Linotype" w:hAnsi="Palatino Linotype"/>
          <w:u w:val="single"/>
        </w:rPr>
      </w:pPr>
      <w:r w:rsidRPr="00ED534D">
        <w:rPr>
          <w:rFonts w:ascii="Palatino Linotype" w:hAnsi="Palatino Linotype"/>
          <w:u w:val="single"/>
        </w:rPr>
        <w:t>TOS:</w:t>
      </w:r>
    </w:p>
    <w:p w14:paraId="71B724E8" w14:textId="782B50E9" w:rsidR="00ED534D" w:rsidRPr="00ED534D" w:rsidRDefault="00ED534D" w:rsidP="00ED534D">
      <w:pPr>
        <w:keepNext/>
        <w:spacing w:before="240"/>
        <w:ind w:left="-360"/>
        <w:contextualSpacing/>
        <w:rPr>
          <w:rFonts w:ascii="Palatino Linotype" w:hAnsi="Palatino Linotype"/>
        </w:rPr>
      </w:pPr>
      <w:r w:rsidRPr="00ED534D">
        <w:rPr>
          <w:rFonts w:ascii="Palatino Linotype" w:hAnsi="Palatino Linotype"/>
        </w:rPr>
        <w:t>Optimal Cumulative Returns</w:t>
      </w:r>
      <w:r>
        <w:rPr>
          <w:rFonts w:ascii="Palatino Linotype" w:hAnsi="Palatino Linotype"/>
        </w:rPr>
        <w:t xml:space="preserve">      </w:t>
      </w:r>
      <w:r w:rsidRPr="00ED534D">
        <w:rPr>
          <w:rFonts w:ascii="Palatino Linotype" w:hAnsi="Palatino Linotype"/>
        </w:rPr>
        <w:t>:  5.7624</w:t>
      </w:r>
    </w:p>
    <w:p w14:paraId="1A0FD796" w14:textId="5A78CCA5" w:rsidR="00ED534D" w:rsidRPr="00ED534D" w:rsidRDefault="00ED534D" w:rsidP="00ED534D">
      <w:pPr>
        <w:keepNext/>
        <w:spacing w:before="240"/>
        <w:ind w:left="-360"/>
        <w:contextualSpacing/>
        <w:rPr>
          <w:rFonts w:ascii="Palatino Linotype" w:hAnsi="Palatino Linotype"/>
        </w:rPr>
      </w:pPr>
      <w:r w:rsidRPr="00ED534D">
        <w:rPr>
          <w:rFonts w:ascii="Palatino Linotype" w:hAnsi="Palatino Linotype"/>
        </w:rPr>
        <w:t>Optimal Average Daily Returns</w:t>
      </w:r>
      <w:r>
        <w:rPr>
          <w:rFonts w:ascii="Palatino Linotype" w:hAnsi="Palatino Linotype"/>
        </w:rPr>
        <w:t xml:space="preserve"> </w:t>
      </w:r>
      <w:r w:rsidRPr="00ED534D">
        <w:rPr>
          <w:rFonts w:ascii="Palatino Linotype" w:hAnsi="Palatino Linotype"/>
        </w:rPr>
        <w:t>:  0.003817419250647995</w:t>
      </w:r>
    </w:p>
    <w:p w14:paraId="713A5069" w14:textId="674FB6F9" w:rsidR="00ED534D" w:rsidRPr="00ED534D" w:rsidRDefault="00ED534D" w:rsidP="00ED534D">
      <w:pPr>
        <w:keepNext/>
        <w:spacing w:before="240"/>
        <w:ind w:left="-360"/>
        <w:contextualSpacing/>
        <w:rPr>
          <w:rFonts w:ascii="Palatino Linotype" w:hAnsi="Palatino Linotype"/>
        </w:rPr>
      </w:pPr>
      <w:r w:rsidRPr="00ED534D">
        <w:rPr>
          <w:rFonts w:ascii="Palatino Linotype" w:hAnsi="Palatino Linotype"/>
        </w:rPr>
        <w:t>Optimal Standard Deviation</w:t>
      </w:r>
      <w:r>
        <w:rPr>
          <w:rFonts w:ascii="Palatino Linotype" w:hAnsi="Palatino Linotype"/>
        </w:rPr>
        <w:t xml:space="preserve">       </w:t>
      </w:r>
      <w:r w:rsidRPr="00ED534D">
        <w:rPr>
          <w:rFonts w:ascii="Palatino Linotype" w:hAnsi="Palatino Linotype"/>
        </w:rPr>
        <w:t>:  0.004555095612772053</w:t>
      </w:r>
    </w:p>
    <w:p w14:paraId="32F78537" w14:textId="77777777" w:rsidR="00ED534D" w:rsidRPr="00ED534D" w:rsidRDefault="00ED534D" w:rsidP="00ED534D">
      <w:pPr>
        <w:keepNext/>
        <w:spacing w:before="240"/>
        <w:ind w:left="-360"/>
        <w:contextualSpacing/>
        <w:rPr>
          <w:rFonts w:ascii="Palatino Linotype" w:hAnsi="Palatino Linotype"/>
          <w:u w:val="single"/>
        </w:rPr>
      </w:pPr>
    </w:p>
    <w:p w14:paraId="76F179C5" w14:textId="5CBE618D" w:rsidR="00ED534D" w:rsidRDefault="00ED534D" w:rsidP="00ED534D">
      <w:pPr>
        <w:keepNext/>
        <w:ind w:left="-360"/>
        <w:rPr>
          <w:rFonts w:ascii="Palatino Linotype" w:hAnsi="Palatino Linotype"/>
          <w:u w:val="single"/>
        </w:rPr>
      </w:pPr>
      <w:r w:rsidRPr="00ED534D">
        <w:rPr>
          <w:rFonts w:ascii="Palatino Linotype" w:hAnsi="Palatino Linotype"/>
          <w:u w:val="single"/>
        </w:rPr>
        <w:t>Benchmark:</w:t>
      </w:r>
    </w:p>
    <w:p w14:paraId="19D315C6" w14:textId="61625D51" w:rsidR="00ED534D" w:rsidRPr="00ED534D" w:rsidRDefault="00ED534D" w:rsidP="00ED534D">
      <w:pPr>
        <w:keepNext/>
        <w:spacing w:before="240"/>
        <w:ind w:left="-360"/>
        <w:contextualSpacing/>
        <w:rPr>
          <w:rFonts w:ascii="Palatino Linotype" w:hAnsi="Palatino Linotype"/>
        </w:rPr>
      </w:pPr>
      <w:r w:rsidRPr="00ED534D">
        <w:rPr>
          <w:rFonts w:ascii="Palatino Linotype" w:hAnsi="Palatino Linotype"/>
        </w:rPr>
        <w:t>Benchmark Cumulative Returns</w:t>
      </w:r>
      <w:r>
        <w:rPr>
          <w:rFonts w:ascii="Palatino Linotype" w:hAnsi="Palatino Linotype"/>
        </w:rPr>
        <w:t xml:space="preserve">      </w:t>
      </w:r>
      <w:r w:rsidRPr="00ED534D">
        <w:rPr>
          <w:rFonts w:ascii="Palatino Linotype" w:hAnsi="Palatino Linotype"/>
        </w:rPr>
        <w:t>:  0.012299999999999978</w:t>
      </w:r>
    </w:p>
    <w:p w14:paraId="51F70F17" w14:textId="033A00CE" w:rsidR="00ED534D" w:rsidRPr="00ED534D" w:rsidRDefault="00ED534D" w:rsidP="00ED534D">
      <w:pPr>
        <w:keepNext/>
        <w:spacing w:before="240"/>
        <w:ind w:left="-360"/>
        <w:contextualSpacing/>
        <w:rPr>
          <w:rFonts w:ascii="Palatino Linotype" w:hAnsi="Palatino Linotype"/>
        </w:rPr>
      </w:pPr>
      <w:r w:rsidRPr="00ED534D">
        <w:rPr>
          <w:rFonts w:ascii="Palatino Linotype" w:hAnsi="Palatino Linotype"/>
        </w:rPr>
        <w:t>Benchmark Average Daily Returns</w:t>
      </w:r>
      <w:r>
        <w:rPr>
          <w:rFonts w:ascii="Palatino Linotype" w:hAnsi="Palatino Linotype"/>
        </w:rPr>
        <w:t xml:space="preserve"> </w:t>
      </w:r>
      <w:r w:rsidRPr="00ED534D">
        <w:rPr>
          <w:rFonts w:ascii="Palatino Linotype" w:hAnsi="Palatino Linotype"/>
        </w:rPr>
        <w:t>:  0.00016808697819094035</w:t>
      </w:r>
    </w:p>
    <w:p w14:paraId="0EB13E82" w14:textId="1E1D340B" w:rsidR="00ED534D" w:rsidRPr="00ED534D" w:rsidRDefault="00ED534D" w:rsidP="00ED534D">
      <w:pPr>
        <w:keepNext/>
        <w:spacing w:before="240"/>
        <w:ind w:left="-360"/>
        <w:contextualSpacing/>
        <w:rPr>
          <w:rFonts w:ascii="Palatino Linotype" w:hAnsi="Palatino Linotype"/>
        </w:rPr>
      </w:pPr>
      <w:r w:rsidRPr="00ED534D">
        <w:rPr>
          <w:rFonts w:ascii="Palatino Linotype" w:hAnsi="Palatino Linotype"/>
        </w:rPr>
        <w:t>Benchmark Standard Deviation</w:t>
      </w:r>
      <w:r>
        <w:rPr>
          <w:rFonts w:ascii="Palatino Linotype" w:hAnsi="Palatino Linotype"/>
        </w:rPr>
        <w:t xml:space="preserve">       </w:t>
      </w:r>
      <w:r w:rsidRPr="00ED534D">
        <w:rPr>
          <w:rFonts w:ascii="Palatino Linotype" w:hAnsi="Palatino Linotype"/>
        </w:rPr>
        <w:t>:  0.017004366271213767</w:t>
      </w:r>
    </w:p>
    <w:sectPr w:rsidR="00ED534D" w:rsidRPr="00ED534D" w:rsidSect="0018631B">
      <w:headerReference w:type="even" r:id="rId18"/>
      <w:headerReference w:type="default" r:id="rId19"/>
      <w:footerReference w:type="even" r:id="rId20"/>
      <w:footerReference w:type="default" r:id="rId21"/>
      <w:headerReference w:type="first" r:id="rId22"/>
      <w:footerReference w:type="first" r:id="rId23"/>
      <w:pgSz w:w="12240" w:h="15840"/>
      <w:pgMar w:top="1260" w:right="2160" w:bottom="2160" w:left="216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3971F" w14:textId="77777777" w:rsidR="00793CFF" w:rsidRDefault="00793CFF" w:rsidP="00387713">
      <w:pPr>
        <w:spacing w:after="0" w:line="240" w:lineRule="auto"/>
      </w:pPr>
      <w:r>
        <w:separator/>
      </w:r>
    </w:p>
  </w:endnote>
  <w:endnote w:type="continuationSeparator" w:id="0">
    <w:p w14:paraId="1866671B" w14:textId="77777777" w:rsidR="00793CFF" w:rsidRDefault="00793CFF" w:rsidP="00387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9E34F" w14:textId="77777777" w:rsidR="00387713" w:rsidRDefault="00387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392393"/>
      <w:docPartObj>
        <w:docPartGallery w:val="Page Numbers (Bottom of Page)"/>
        <w:docPartUnique/>
      </w:docPartObj>
    </w:sdtPr>
    <w:sdtEndPr>
      <w:rPr>
        <w:noProof/>
      </w:rPr>
    </w:sdtEndPr>
    <w:sdtContent>
      <w:p w14:paraId="4977B958" w14:textId="77777777" w:rsidR="00387713" w:rsidRDefault="00387713" w:rsidP="00387713">
        <w:pPr>
          <w:pStyle w:val="Footer"/>
          <w:jc w:val="center"/>
        </w:pPr>
        <w:r>
          <w:fldChar w:fldCharType="begin"/>
        </w:r>
        <w:r>
          <w:instrText xml:space="preserve"> PAGE   \* MERGEFORMAT </w:instrText>
        </w:r>
        <w:r>
          <w:fldChar w:fldCharType="separate"/>
        </w:r>
        <w:r w:rsidR="00A82AFB">
          <w:rPr>
            <w:noProof/>
          </w:rPr>
          <w:t>1</w:t>
        </w:r>
        <w:r>
          <w:rPr>
            <w:noProof/>
          </w:rPr>
          <w:fldChar w:fldCharType="end"/>
        </w:r>
      </w:p>
    </w:sdtContent>
  </w:sdt>
  <w:p w14:paraId="110E5178" w14:textId="77777777" w:rsidR="00387713" w:rsidRDefault="003877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21950" w14:textId="77777777" w:rsidR="00387713" w:rsidRDefault="00387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FCED5" w14:textId="77777777" w:rsidR="00793CFF" w:rsidRDefault="00793CFF" w:rsidP="00387713">
      <w:pPr>
        <w:spacing w:after="0" w:line="240" w:lineRule="auto"/>
      </w:pPr>
      <w:r>
        <w:separator/>
      </w:r>
    </w:p>
  </w:footnote>
  <w:footnote w:type="continuationSeparator" w:id="0">
    <w:p w14:paraId="7456F5E6" w14:textId="77777777" w:rsidR="00793CFF" w:rsidRDefault="00793CFF" w:rsidP="00387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CE09B" w14:textId="77777777" w:rsidR="00387713" w:rsidRDefault="003877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06E67" w14:textId="77777777" w:rsidR="00387713" w:rsidRDefault="003877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0AF2D" w14:textId="77777777" w:rsidR="00387713" w:rsidRDefault="00387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7E0"/>
    <w:multiLevelType w:val="multilevel"/>
    <w:tmpl w:val="EE0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B6851"/>
    <w:multiLevelType w:val="hybridMultilevel"/>
    <w:tmpl w:val="689827DC"/>
    <w:lvl w:ilvl="0" w:tplc="892CF6DE">
      <w:start w:val="1"/>
      <w:numFmt w:val="decimal"/>
      <w:lvlText w:val="%1."/>
      <w:lvlJc w:val="left"/>
      <w:pPr>
        <w:ind w:left="540" w:hanging="360"/>
      </w:pPr>
      <w:rPr>
        <w:b/>
        <w:bCs/>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8F13828"/>
    <w:multiLevelType w:val="multilevel"/>
    <w:tmpl w:val="0F1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622F7"/>
    <w:multiLevelType w:val="multilevel"/>
    <w:tmpl w:val="0F3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641C9"/>
    <w:multiLevelType w:val="hybridMultilevel"/>
    <w:tmpl w:val="48EC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A409A"/>
    <w:multiLevelType w:val="multilevel"/>
    <w:tmpl w:val="3828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F2EC0"/>
    <w:multiLevelType w:val="hybridMultilevel"/>
    <w:tmpl w:val="9AC6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94673"/>
    <w:multiLevelType w:val="hybridMultilevel"/>
    <w:tmpl w:val="07968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E78"/>
    <w:rsid w:val="000045EF"/>
    <w:rsid w:val="00005778"/>
    <w:rsid w:val="00044871"/>
    <w:rsid w:val="0005626C"/>
    <w:rsid w:val="0006250F"/>
    <w:rsid w:val="00062B82"/>
    <w:rsid w:val="000708C2"/>
    <w:rsid w:val="000A77E1"/>
    <w:rsid w:val="000E4862"/>
    <w:rsid w:val="00104DD3"/>
    <w:rsid w:val="00107078"/>
    <w:rsid w:val="001175FD"/>
    <w:rsid w:val="00125D6B"/>
    <w:rsid w:val="001343E6"/>
    <w:rsid w:val="00135787"/>
    <w:rsid w:val="0014562B"/>
    <w:rsid w:val="001563FC"/>
    <w:rsid w:val="00182630"/>
    <w:rsid w:val="0018631B"/>
    <w:rsid w:val="001A218A"/>
    <w:rsid w:val="001A436C"/>
    <w:rsid w:val="001B1C69"/>
    <w:rsid w:val="001B26DC"/>
    <w:rsid w:val="001B6E37"/>
    <w:rsid w:val="001D1970"/>
    <w:rsid w:val="001F17F6"/>
    <w:rsid w:val="0021756F"/>
    <w:rsid w:val="00235F53"/>
    <w:rsid w:val="002403A8"/>
    <w:rsid w:val="002763EE"/>
    <w:rsid w:val="00290C83"/>
    <w:rsid w:val="002A5548"/>
    <w:rsid w:val="002A55BA"/>
    <w:rsid w:val="002A6E09"/>
    <w:rsid w:val="002E1552"/>
    <w:rsid w:val="00311224"/>
    <w:rsid w:val="00324E74"/>
    <w:rsid w:val="00330356"/>
    <w:rsid w:val="003751B7"/>
    <w:rsid w:val="0037620F"/>
    <w:rsid w:val="003870F1"/>
    <w:rsid w:val="00387713"/>
    <w:rsid w:val="0039571B"/>
    <w:rsid w:val="003D2E27"/>
    <w:rsid w:val="00422186"/>
    <w:rsid w:val="0042321A"/>
    <w:rsid w:val="004370EF"/>
    <w:rsid w:val="00484A47"/>
    <w:rsid w:val="00486A62"/>
    <w:rsid w:val="004907D5"/>
    <w:rsid w:val="004C0E84"/>
    <w:rsid w:val="004F372B"/>
    <w:rsid w:val="00562AE0"/>
    <w:rsid w:val="005C2025"/>
    <w:rsid w:val="005C50A7"/>
    <w:rsid w:val="005C695C"/>
    <w:rsid w:val="005E38D2"/>
    <w:rsid w:val="00610415"/>
    <w:rsid w:val="00621073"/>
    <w:rsid w:val="00635EB9"/>
    <w:rsid w:val="0064316D"/>
    <w:rsid w:val="00666F1F"/>
    <w:rsid w:val="006762FF"/>
    <w:rsid w:val="00681D6D"/>
    <w:rsid w:val="0073261F"/>
    <w:rsid w:val="00743C8A"/>
    <w:rsid w:val="007937CF"/>
    <w:rsid w:val="00793CFF"/>
    <w:rsid w:val="007A21C4"/>
    <w:rsid w:val="007F1E3D"/>
    <w:rsid w:val="007F2A63"/>
    <w:rsid w:val="007F69E1"/>
    <w:rsid w:val="00815D46"/>
    <w:rsid w:val="00825504"/>
    <w:rsid w:val="008509A1"/>
    <w:rsid w:val="00863145"/>
    <w:rsid w:val="00866F01"/>
    <w:rsid w:val="00867114"/>
    <w:rsid w:val="0087339B"/>
    <w:rsid w:val="00887CB8"/>
    <w:rsid w:val="00896A55"/>
    <w:rsid w:val="008A4A8C"/>
    <w:rsid w:val="008B7E78"/>
    <w:rsid w:val="008C25A4"/>
    <w:rsid w:val="008D117B"/>
    <w:rsid w:val="008E0017"/>
    <w:rsid w:val="00904DB9"/>
    <w:rsid w:val="00921FFB"/>
    <w:rsid w:val="0092322D"/>
    <w:rsid w:val="00941023"/>
    <w:rsid w:val="00956FD8"/>
    <w:rsid w:val="00984466"/>
    <w:rsid w:val="009E2355"/>
    <w:rsid w:val="009E2A6F"/>
    <w:rsid w:val="009F4C69"/>
    <w:rsid w:val="009F620D"/>
    <w:rsid w:val="009F70F7"/>
    <w:rsid w:val="00A51839"/>
    <w:rsid w:val="00A82AFB"/>
    <w:rsid w:val="00A9207B"/>
    <w:rsid w:val="00A93446"/>
    <w:rsid w:val="00AA32AF"/>
    <w:rsid w:val="00AA684C"/>
    <w:rsid w:val="00AB5D56"/>
    <w:rsid w:val="00AC3263"/>
    <w:rsid w:val="00AC6675"/>
    <w:rsid w:val="00AD70FC"/>
    <w:rsid w:val="00AD7B27"/>
    <w:rsid w:val="00AF72B7"/>
    <w:rsid w:val="00B0574E"/>
    <w:rsid w:val="00B05B7C"/>
    <w:rsid w:val="00B36AF7"/>
    <w:rsid w:val="00B4698A"/>
    <w:rsid w:val="00B770F9"/>
    <w:rsid w:val="00B947FC"/>
    <w:rsid w:val="00B975D9"/>
    <w:rsid w:val="00BD407A"/>
    <w:rsid w:val="00BE3016"/>
    <w:rsid w:val="00C128AF"/>
    <w:rsid w:val="00C23775"/>
    <w:rsid w:val="00C265CF"/>
    <w:rsid w:val="00C3539E"/>
    <w:rsid w:val="00C55CA7"/>
    <w:rsid w:val="00C7138B"/>
    <w:rsid w:val="00C72129"/>
    <w:rsid w:val="00C83D5A"/>
    <w:rsid w:val="00C8520A"/>
    <w:rsid w:val="00C90D25"/>
    <w:rsid w:val="00CA2F16"/>
    <w:rsid w:val="00CA4F7F"/>
    <w:rsid w:val="00CE6130"/>
    <w:rsid w:val="00CE646A"/>
    <w:rsid w:val="00D429D3"/>
    <w:rsid w:val="00D45A65"/>
    <w:rsid w:val="00D848FA"/>
    <w:rsid w:val="00D90BFD"/>
    <w:rsid w:val="00D935CA"/>
    <w:rsid w:val="00D9664D"/>
    <w:rsid w:val="00D9713B"/>
    <w:rsid w:val="00DA6685"/>
    <w:rsid w:val="00E05A5B"/>
    <w:rsid w:val="00E1561A"/>
    <w:rsid w:val="00E25EB3"/>
    <w:rsid w:val="00E415C7"/>
    <w:rsid w:val="00E60774"/>
    <w:rsid w:val="00E65AF3"/>
    <w:rsid w:val="00E761DD"/>
    <w:rsid w:val="00E83CAA"/>
    <w:rsid w:val="00E9317C"/>
    <w:rsid w:val="00E97193"/>
    <w:rsid w:val="00EB6FFE"/>
    <w:rsid w:val="00EC0145"/>
    <w:rsid w:val="00ED534D"/>
    <w:rsid w:val="00EE4DD4"/>
    <w:rsid w:val="00F106F6"/>
    <w:rsid w:val="00F263AE"/>
    <w:rsid w:val="00F54152"/>
    <w:rsid w:val="00F55EC9"/>
    <w:rsid w:val="00F561E8"/>
    <w:rsid w:val="00F667D4"/>
    <w:rsid w:val="00FA68FE"/>
    <w:rsid w:val="00FA6DD4"/>
    <w:rsid w:val="00FB3D7C"/>
    <w:rsid w:val="00FC3DE8"/>
    <w:rsid w:val="00FD30F1"/>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967C"/>
  <w15:docId w15:val="{4E0DEE44-C920-4A71-AA1A-C3D05C3A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3E6"/>
    <w:rPr>
      <w:color w:val="0563C1" w:themeColor="hyperlink"/>
      <w:u w:val="single"/>
    </w:rPr>
  </w:style>
  <w:style w:type="character" w:customStyle="1" w:styleId="UnresolvedMention1">
    <w:name w:val="Unresolved Mention1"/>
    <w:basedOn w:val="DefaultParagraphFont"/>
    <w:uiPriority w:val="99"/>
    <w:semiHidden/>
    <w:unhideWhenUsed/>
    <w:rsid w:val="001343E6"/>
    <w:rPr>
      <w:color w:val="605E5C"/>
      <w:shd w:val="clear" w:color="auto" w:fill="E1DFDD"/>
    </w:rPr>
  </w:style>
  <w:style w:type="paragraph" w:styleId="ListParagraph">
    <w:name w:val="List Paragraph"/>
    <w:basedOn w:val="Normal"/>
    <w:uiPriority w:val="34"/>
    <w:qFormat/>
    <w:rsid w:val="001343E6"/>
    <w:pPr>
      <w:ind w:left="720"/>
      <w:contextualSpacing/>
    </w:pPr>
  </w:style>
  <w:style w:type="paragraph" w:styleId="Title">
    <w:name w:val="Title"/>
    <w:basedOn w:val="Normal"/>
    <w:next w:val="Normal"/>
    <w:link w:val="TitleChar"/>
    <w:autoRedefine/>
    <w:uiPriority w:val="10"/>
    <w:qFormat/>
    <w:rsid w:val="00A51839"/>
    <w:pPr>
      <w:spacing w:after="110" w:line="440" w:lineRule="exact"/>
      <w:contextualSpacing/>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A51839"/>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387713"/>
    <w:pPr>
      <w:numPr>
        <w:ilvl w:val="1"/>
      </w:numPr>
      <w:spacing w:after="170" w:line="340" w:lineRule="exact"/>
      <w:jc w:val="center"/>
    </w:pPr>
    <w:rPr>
      <w:rFonts w:ascii="Palatino Linotype" w:eastAsiaTheme="minorEastAsia" w:hAnsi="Palatino Linotype" w:cs="Times New Roman"/>
      <w:spacing w:val="2"/>
      <w:kern w:val="16"/>
      <w14:ligatures w14:val="standardContextual"/>
      <w14:numForm w14:val="oldStyle"/>
      <w14:numSpacing w14:val="proportional"/>
    </w:rPr>
  </w:style>
  <w:style w:type="character" w:customStyle="1" w:styleId="SubtitleChar">
    <w:name w:val="Subtitle Char"/>
    <w:basedOn w:val="DefaultParagraphFont"/>
    <w:link w:val="Subtitle"/>
    <w:uiPriority w:val="11"/>
    <w:rsid w:val="00387713"/>
    <w:rPr>
      <w:rFonts w:ascii="Palatino Linotype" w:eastAsiaTheme="minorEastAsia" w:hAnsi="Palatino Linotype" w:cs="Times New Roman"/>
      <w:spacing w:val="2"/>
      <w:kern w:val="16"/>
      <w14:ligatures w14:val="standardContextual"/>
      <w14:numForm w14:val="oldStyle"/>
      <w14:numSpacing w14:val="proportional"/>
    </w:rPr>
  </w:style>
  <w:style w:type="paragraph" w:styleId="Header">
    <w:name w:val="header"/>
    <w:basedOn w:val="Normal"/>
    <w:link w:val="HeaderChar"/>
    <w:uiPriority w:val="99"/>
    <w:unhideWhenUsed/>
    <w:rsid w:val="00387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13"/>
  </w:style>
  <w:style w:type="paragraph" w:styleId="Footer">
    <w:name w:val="footer"/>
    <w:basedOn w:val="Normal"/>
    <w:link w:val="FooterChar"/>
    <w:uiPriority w:val="99"/>
    <w:unhideWhenUsed/>
    <w:rsid w:val="0038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13"/>
  </w:style>
  <w:style w:type="paragraph" w:styleId="Caption">
    <w:name w:val="caption"/>
    <w:basedOn w:val="Normal"/>
    <w:next w:val="Normal"/>
    <w:uiPriority w:val="35"/>
    <w:unhideWhenUsed/>
    <w:qFormat/>
    <w:rsid w:val="00F106F6"/>
    <w:pPr>
      <w:spacing w:after="200" w:line="240" w:lineRule="auto"/>
    </w:pPr>
    <w:rPr>
      <w:i/>
      <w:iCs/>
      <w:color w:val="44546A" w:themeColor="text2"/>
      <w:sz w:val="18"/>
      <w:szCs w:val="18"/>
    </w:rPr>
  </w:style>
  <w:style w:type="paragraph" w:customStyle="1" w:styleId="FigureCaption">
    <w:name w:val="Figure Caption"/>
    <w:basedOn w:val="Normal"/>
    <w:qFormat/>
    <w:rsid w:val="00F106F6"/>
    <w:pPr>
      <w:tabs>
        <w:tab w:val="left" w:pos="2250"/>
        <w:tab w:val="left" w:pos="2275"/>
        <w:tab w:val="left" w:pos="2304"/>
        <w:tab w:val="left" w:pos="2333"/>
        <w:tab w:val="left" w:pos="2362"/>
      </w:tabs>
      <w:spacing w:after="110" w:line="280" w:lineRule="exact"/>
      <w:ind w:right="1440"/>
      <w:jc w:val="both"/>
    </w:pPr>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character" w:customStyle="1" w:styleId="UnresolvedMention2">
    <w:name w:val="Unresolved Mention2"/>
    <w:basedOn w:val="DefaultParagraphFont"/>
    <w:uiPriority w:val="99"/>
    <w:semiHidden/>
    <w:unhideWhenUsed/>
    <w:rsid w:val="00107078"/>
    <w:rPr>
      <w:color w:val="605E5C"/>
      <w:shd w:val="clear" w:color="auto" w:fill="E1DFDD"/>
    </w:rPr>
  </w:style>
  <w:style w:type="paragraph" w:styleId="NormalWeb">
    <w:name w:val="Normal (Web)"/>
    <w:basedOn w:val="Normal"/>
    <w:uiPriority w:val="99"/>
    <w:semiHidden/>
    <w:unhideWhenUsed/>
    <w:rsid w:val="00E41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C83"/>
    <w:rPr>
      <w:b/>
      <w:bCs/>
    </w:rPr>
  </w:style>
  <w:style w:type="paragraph" w:styleId="BalloonText">
    <w:name w:val="Balloon Text"/>
    <w:basedOn w:val="Normal"/>
    <w:link w:val="BalloonTextChar"/>
    <w:uiPriority w:val="99"/>
    <w:semiHidden/>
    <w:unhideWhenUsed/>
    <w:rsid w:val="00A82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FB"/>
    <w:rPr>
      <w:rFonts w:ascii="Tahoma" w:hAnsi="Tahoma" w:cs="Tahoma"/>
      <w:sz w:val="16"/>
      <w:szCs w:val="16"/>
    </w:rPr>
  </w:style>
  <w:style w:type="paragraph" w:customStyle="1" w:styleId="Default">
    <w:name w:val="Default"/>
    <w:rsid w:val="001563FC"/>
    <w:pPr>
      <w:autoSpaceDE w:val="0"/>
      <w:autoSpaceDN w:val="0"/>
      <w:adjustRightInd w:val="0"/>
      <w:spacing w:after="0" w:line="240" w:lineRule="auto"/>
    </w:pPr>
    <w:rPr>
      <w:rFonts w:ascii="Palatino Linotype" w:hAnsi="Palatino Linotype" w:cs="Palatino Linotype"/>
      <w:color w:val="000000"/>
      <w:sz w:val="24"/>
      <w:szCs w:val="24"/>
    </w:rPr>
  </w:style>
  <w:style w:type="character" w:styleId="PlaceholderText">
    <w:name w:val="Placeholder Text"/>
    <w:basedOn w:val="DefaultParagraphFont"/>
    <w:uiPriority w:val="99"/>
    <w:semiHidden/>
    <w:rsid w:val="00D9713B"/>
    <w:rPr>
      <w:color w:val="808080"/>
    </w:rPr>
  </w:style>
  <w:style w:type="character" w:customStyle="1" w:styleId="Heading1Char">
    <w:name w:val="Heading 1 Char"/>
    <w:basedOn w:val="DefaultParagraphFont"/>
    <w:link w:val="Heading1"/>
    <w:uiPriority w:val="9"/>
    <w:rsid w:val="00EB6FF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B6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356">
      <w:bodyDiv w:val="1"/>
      <w:marLeft w:val="0"/>
      <w:marRight w:val="0"/>
      <w:marTop w:val="0"/>
      <w:marBottom w:val="0"/>
      <w:divBdr>
        <w:top w:val="none" w:sz="0" w:space="0" w:color="auto"/>
        <w:left w:val="none" w:sz="0" w:space="0" w:color="auto"/>
        <w:bottom w:val="none" w:sz="0" w:space="0" w:color="auto"/>
        <w:right w:val="none" w:sz="0" w:space="0" w:color="auto"/>
      </w:divBdr>
    </w:div>
    <w:div w:id="32117984">
      <w:bodyDiv w:val="1"/>
      <w:marLeft w:val="0"/>
      <w:marRight w:val="0"/>
      <w:marTop w:val="0"/>
      <w:marBottom w:val="0"/>
      <w:divBdr>
        <w:top w:val="none" w:sz="0" w:space="0" w:color="auto"/>
        <w:left w:val="none" w:sz="0" w:space="0" w:color="auto"/>
        <w:bottom w:val="none" w:sz="0" w:space="0" w:color="auto"/>
        <w:right w:val="none" w:sz="0" w:space="0" w:color="auto"/>
      </w:divBdr>
    </w:div>
    <w:div w:id="86771808">
      <w:bodyDiv w:val="1"/>
      <w:marLeft w:val="0"/>
      <w:marRight w:val="0"/>
      <w:marTop w:val="0"/>
      <w:marBottom w:val="0"/>
      <w:divBdr>
        <w:top w:val="none" w:sz="0" w:space="0" w:color="auto"/>
        <w:left w:val="none" w:sz="0" w:space="0" w:color="auto"/>
        <w:bottom w:val="none" w:sz="0" w:space="0" w:color="auto"/>
        <w:right w:val="none" w:sz="0" w:space="0" w:color="auto"/>
      </w:divBdr>
    </w:div>
    <w:div w:id="776020199">
      <w:bodyDiv w:val="1"/>
      <w:marLeft w:val="0"/>
      <w:marRight w:val="0"/>
      <w:marTop w:val="0"/>
      <w:marBottom w:val="0"/>
      <w:divBdr>
        <w:top w:val="none" w:sz="0" w:space="0" w:color="auto"/>
        <w:left w:val="none" w:sz="0" w:space="0" w:color="auto"/>
        <w:bottom w:val="none" w:sz="0" w:space="0" w:color="auto"/>
        <w:right w:val="none" w:sz="0" w:space="0" w:color="auto"/>
      </w:divBdr>
    </w:div>
    <w:div w:id="1197503327">
      <w:bodyDiv w:val="1"/>
      <w:marLeft w:val="0"/>
      <w:marRight w:val="0"/>
      <w:marTop w:val="0"/>
      <w:marBottom w:val="0"/>
      <w:divBdr>
        <w:top w:val="none" w:sz="0" w:space="0" w:color="auto"/>
        <w:left w:val="none" w:sz="0" w:space="0" w:color="auto"/>
        <w:bottom w:val="none" w:sz="0" w:space="0" w:color="auto"/>
        <w:right w:val="none" w:sz="0" w:space="0" w:color="auto"/>
      </w:divBdr>
    </w:div>
    <w:div w:id="1202324329">
      <w:bodyDiv w:val="1"/>
      <w:marLeft w:val="0"/>
      <w:marRight w:val="0"/>
      <w:marTop w:val="0"/>
      <w:marBottom w:val="0"/>
      <w:divBdr>
        <w:top w:val="none" w:sz="0" w:space="0" w:color="auto"/>
        <w:left w:val="none" w:sz="0" w:space="0" w:color="auto"/>
        <w:bottom w:val="none" w:sz="0" w:space="0" w:color="auto"/>
        <w:right w:val="none" w:sz="0" w:space="0" w:color="auto"/>
      </w:divBdr>
    </w:div>
    <w:div w:id="1519392695">
      <w:bodyDiv w:val="1"/>
      <w:marLeft w:val="0"/>
      <w:marRight w:val="0"/>
      <w:marTop w:val="0"/>
      <w:marBottom w:val="0"/>
      <w:divBdr>
        <w:top w:val="none" w:sz="0" w:space="0" w:color="auto"/>
        <w:left w:val="none" w:sz="0" w:space="0" w:color="auto"/>
        <w:bottom w:val="none" w:sz="0" w:space="0" w:color="auto"/>
        <w:right w:val="none" w:sz="0" w:space="0" w:color="auto"/>
      </w:divBdr>
    </w:div>
    <w:div w:id="1848669774">
      <w:bodyDiv w:val="1"/>
      <w:marLeft w:val="0"/>
      <w:marRight w:val="0"/>
      <w:marTop w:val="0"/>
      <w:marBottom w:val="0"/>
      <w:divBdr>
        <w:top w:val="none" w:sz="0" w:space="0" w:color="auto"/>
        <w:left w:val="none" w:sz="0" w:space="0" w:color="auto"/>
        <w:bottom w:val="none" w:sz="0" w:space="0" w:color="auto"/>
        <w:right w:val="none" w:sz="0" w:space="0" w:color="auto"/>
      </w:divBdr>
    </w:div>
    <w:div w:id="21125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ahale6@gatech.edu"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hool.stockcharts.com/doku.php?id=technical_indicators:moving_averages"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49A3-A1FF-49B3-87A4-C94DDA7B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7</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RBS Citizens</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Shrikanth Mahale</dc:creator>
  <cp:lastModifiedBy>Shrikanth Mahale</cp:lastModifiedBy>
  <cp:revision>48</cp:revision>
  <cp:lastPrinted>2020-10-16T05:28:00Z</cp:lastPrinted>
  <dcterms:created xsi:type="dcterms:W3CDTF">2020-09-17T18:53:00Z</dcterms:created>
  <dcterms:modified xsi:type="dcterms:W3CDTF">2020-10-16T05:29:00Z</dcterms:modified>
</cp:coreProperties>
</file>