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7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1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27" w:name="теоретические-сведения-по-работ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 по работе</w:t>
      </w:r>
    </w:p>
    <w:bookmarkStart w:id="21" w:name="основные-компонен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Основные компоненты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GNS3</w:t>
      </w:r>
      <w:r>
        <w:t xml:space="preserve"> </w:t>
      </w:r>
      <w:r>
        <w:t xml:space="preserve">— среда моделирования сетей. Позволяет создавать виртуальные топологии с маршрутизаторами и коммутаторами.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FRRouting (FRR)</w:t>
      </w:r>
      <w:r>
        <w:t xml:space="preserve"> </w:t>
      </w:r>
      <w:r>
        <w:t xml:space="preserve">— маршрутизатор L3 с поддержкой OSPF, BGP, RIP, IS-IS.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VyOS</w:t>
      </w:r>
      <w:r>
        <w:t xml:space="preserve"> </w:t>
      </w:r>
      <w:r>
        <w:t xml:space="preserve">— сетевой дистрибутив Linux с CLI, предоставляет маршрутизацию, NAT, VPN.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VPCS</w:t>
      </w:r>
      <w:r>
        <w:t xml:space="preserve"> </w:t>
      </w:r>
      <w:r>
        <w:t xml:space="preserve">— виртуальные конечные устройства, используются для ping/trace.</w:t>
      </w:r>
    </w:p>
    <w:bookmarkEnd w:id="21"/>
    <w:bookmarkStart w:id="22" w:name="адресация-ipv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Адресация IPv4</w:t>
      </w:r>
    </w:p>
    <w:p>
      <w:pPr>
        <w:numPr>
          <w:ilvl w:val="0"/>
          <w:numId w:val="1002"/>
        </w:numPr>
        <w:pStyle w:val="Compact"/>
      </w:pPr>
      <w:r>
        <w:t xml:space="preserve">32-битный адрес.</w:t>
      </w:r>
    </w:p>
    <w:p>
      <w:pPr>
        <w:numPr>
          <w:ilvl w:val="0"/>
          <w:numId w:val="1002"/>
        </w:numPr>
        <w:pStyle w:val="Compact"/>
      </w:pPr>
      <w:r>
        <w:t xml:space="preserve">Запись:</w:t>
      </w:r>
      <w:r>
        <w:t xml:space="preserve"> </w:t>
      </w:r>
      <w:r>
        <w:rPr>
          <w:rStyle w:val="VerbatimChar"/>
        </w:rPr>
        <w:t xml:space="preserve">x.x.x.x</w:t>
      </w:r>
      <w:r>
        <w:t xml:space="preserve">, где каждый октет — 0..255.</w:t>
      </w:r>
    </w:p>
    <w:p>
      <w:pPr>
        <w:numPr>
          <w:ilvl w:val="0"/>
          <w:numId w:val="1002"/>
        </w:numPr>
        <w:pStyle w:val="Compact"/>
      </w:pPr>
      <w:r>
        <w:t xml:space="preserve">Требует маски для деления на сеть/узлы.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172.16.20.0/24</w:t>
      </w:r>
      <w:r>
        <w:br/>
      </w:r>
      <w:r>
        <w:rPr>
          <w:rStyle w:val="VerbatimChar"/>
        </w:rPr>
        <w:t xml:space="preserve">/24</w:t>
      </w:r>
      <w:r>
        <w:t xml:space="preserve"> </w:t>
      </w:r>
      <w:r>
        <w:t xml:space="preserve">→ сеть, оставшиеся биты → хосты.</w:t>
      </w:r>
    </w:p>
    <w:bookmarkEnd w:id="22"/>
    <w:bookmarkStart w:id="23" w:name="адресация-ipv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Адресация IPv6</w:t>
      </w:r>
    </w:p>
    <w:p>
      <w:pPr>
        <w:numPr>
          <w:ilvl w:val="0"/>
          <w:numId w:val="1003"/>
        </w:numPr>
        <w:pStyle w:val="Compact"/>
      </w:pPr>
      <w:r>
        <w:t xml:space="preserve">128-битный адрес.</w:t>
      </w:r>
    </w:p>
    <w:p>
      <w:pPr>
        <w:numPr>
          <w:ilvl w:val="0"/>
          <w:numId w:val="1003"/>
        </w:numPr>
        <w:pStyle w:val="Compact"/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xxxx:xxxx:xxxx:xxxx:....</w:t>
      </w:r>
    </w:p>
    <w:p>
      <w:pPr>
        <w:numPr>
          <w:ilvl w:val="0"/>
          <w:numId w:val="1003"/>
        </w:numPr>
        <w:pStyle w:val="Compact"/>
      </w:pPr>
      <w:r>
        <w:t xml:space="preserve">Строится по принципу</w:t>
      </w:r>
      <w:r>
        <w:t xml:space="preserve"> </w:t>
      </w:r>
      <w:r>
        <w:rPr>
          <w:iCs/>
          <w:i/>
        </w:rPr>
        <w:t xml:space="preserve">префикс (Subnet ID) + Interface 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Автоконфигурация SLAAC (получение адреса от RA роутера).</w:t>
      </w:r>
    </w:p>
    <w:p>
      <w:pPr>
        <w:pStyle w:val="FirstParagraph"/>
      </w:pPr>
      <w:r>
        <w:t xml:space="preserve">Пример префикса:</w:t>
      </w:r>
      <w:r>
        <w:t xml:space="preserve"> </w:t>
      </w:r>
      <w:r>
        <w:rPr>
          <w:rStyle w:val="VerbatimChar"/>
        </w:rPr>
        <w:t xml:space="preserve">2001:db8:c0de::/48</w:t>
      </w:r>
    </w:p>
    <w:bookmarkEnd w:id="23"/>
    <w:bookmarkStart w:id="24" w:name="протокол-arp-ipv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Протокол ARP (IPv4)</w:t>
      </w:r>
    </w:p>
    <w:p>
      <w:pPr>
        <w:pStyle w:val="FirstParagraph"/>
      </w:pPr>
      <w:r>
        <w:t xml:space="preserve">Назначение:</w:t>
      </w:r>
      <w:r>
        <w:t xml:space="preserve"> </w:t>
      </w:r>
      <w:r>
        <w:t xml:space="preserve">- Определение</w:t>
      </w:r>
      <w:r>
        <w:t xml:space="preserve"> </w:t>
      </w:r>
      <w:r>
        <w:rPr>
          <w:bCs/>
          <w:b/>
        </w:rPr>
        <w:t xml:space="preserve">MAC-адреса</w:t>
      </w:r>
      <w:r>
        <w:t xml:space="preserve"> </w:t>
      </w:r>
      <w:r>
        <w:t xml:space="preserve">устройства по его IPv4.</w:t>
      </w:r>
    </w:p>
    <w:p>
      <w:pPr>
        <w:pStyle w:val="BodyText"/>
      </w:pPr>
      <w:r>
        <w:t xml:space="preserve">Процесс:</w:t>
      </w:r>
      <w:r>
        <w:t xml:space="preserve"> </w:t>
      </w:r>
      <w:r>
        <w:t xml:space="preserve">1. Узел отправляет широковещательный запрос (ARP Request)</w:t>
      </w:r>
      <w:r>
        <w:t xml:space="preserve"> </w:t>
      </w:r>
      <w:r>
        <w:t xml:space="preserve">2. Получатель отвечает ARP Reply</w:t>
      </w:r>
    </w:p>
    <w:p>
      <w:pPr>
        <w:pStyle w:val="BodyText"/>
      </w:pPr>
      <w:r>
        <w:t xml:space="preserve">Используется</w:t>
      </w:r>
      <w:r>
        <w:t xml:space="preserve"> </w:t>
      </w:r>
      <w:r>
        <w:rPr>
          <w:iCs/>
          <w:i/>
        </w:rPr>
        <w:t xml:space="preserve">только для IPv4</w:t>
      </w:r>
      <w:r>
        <w:t xml:space="preserve">.</w:t>
      </w:r>
    </w:p>
    <w:bookmarkEnd w:id="24"/>
    <w:bookmarkStart w:id="25" w:name="icmp-icmpv6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ICMP / ICMPv6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ICMP (IPv4)</w:t>
      </w:r>
      <w:r>
        <w:t xml:space="preserve"> </w:t>
      </w:r>
      <w:r>
        <w:t xml:space="preserve">— контроль передачи данных, проверка доступности (ping).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ICMPv6</w:t>
      </w:r>
      <w:r>
        <w:t xml:space="preserve"> </w:t>
      </w:r>
      <w:r>
        <w:t xml:space="preserve">включает:</w:t>
      </w:r>
    </w:p>
    <w:p>
      <w:pPr>
        <w:numPr>
          <w:ilvl w:val="1"/>
          <w:numId w:val="1005"/>
        </w:numPr>
        <w:pStyle w:val="Compact"/>
      </w:pPr>
      <w:r>
        <w:t xml:space="preserve">Neighbor Solicitation / Advertisement (аналог ARP)</w:t>
      </w:r>
    </w:p>
    <w:p>
      <w:pPr>
        <w:numPr>
          <w:ilvl w:val="1"/>
          <w:numId w:val="1005"/>
        </w:numPr>
        <w:pStyle w:val="Compact"/>
      </w:pPr>
      <w:r>
        <w:t xml:space="preserve">Router Advertisement (автоназначение IPv6)</w:t>
      </w:r>
    </w:p>
    <w:p>
      <w:pPr>
        <w:pStyle w:val="FirstParagraph"/>
      </w:pPr>
      <w:r>
        <w:t xml:space="preserve">ICMPv6 заменяет ARP для IPv6.</w:t>
      </w:r>
    </w:p>
    <w:bookmarkEnd w:id="25"/>
    <w:bookmarkStart w:id="26" w:name="двойной-стек-ipv4-ipv6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Двойной стек IPv4 / IPv6</w:t>
      </w:r>
    </w:p>
    <w:p>
      <w:pPr>
        <w:pStyle w:val="FirstParagraph"/>
      </w:pPr>
      <w:r>
        <w:t xml:space="preserve">Устройство может иметь</w:t>
      </w:r>
      <w:r>
        <w:t xml:space="preserve"> </w:t>
      </w:r>
      <w:r>
        <w:rPr>
          <w:bCs/>
          <w:b/>
        </w:rPr>
        <w:t xml:space="preserve">оба протокола одновременно</w:t>
      </w:r>
      <w:r>
        <w:t xml:space="preserve">:</w:t>
      </w:r>
      <w:r>
        <w:t xml:space="preserve"> </w:t>
      </w:r>
      <w:r>
        <w:t xml:space="preserve">- IPv4 используется для традиционных сетей</w:t>
      </w:r>
      <w:r>
        <w:t xml:space="preserve"> </w:t>
      </w:r>
      <w:r>
        <w:t xml:space="preserve">- IPv6 — для современных и глобальных</w:t>
      </w:r>
    </w:p>
    <w:p>
      <w:pPr>
        <w:pStyle w:val="BodyText"/>
      </w:pPr>
      <w:r>
        <w:t xml:space="preserve">Позволяет постепенный переход с IPv4 на IPv6.</w:t>
      </w:r>
    </w:p>
    <w:bookmarkEnd w:id="26"/>
    <w:bookmarkEnd w:id="27"/>
    <w:bookmarkStart w:id="12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разбиение-ipv4-сети-на-подсет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Разбиение IPv4-сети на подсети</w:t>
      </w:r>
    </w:p>
    <w:bookmarkStart w:id="28" w:name="сеть-172.16.20.024"/>
    <w:p>
      <w:pPr>
        <w:pStyle w:val="Heading4"/>
      </w:pPr>
      <w:r>
        <w:rPr>
          <w:rStyle w:val="SectionNumber"/>
        </w:rPr>
        <w:t xml:space="preserve">3.1.0.1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172.16.20.0/24</w:t>
      </w:r>
    </w:p>
    <w:p>
      <w:pPr>
        <w:numPr>
          <w:ilvl w:val="0"/>
          <w:numId w:val="1006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/24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255.255.255.0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172.16.20.255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172.16.20.1 – 172.16.20.254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Число узлов (usable):</w:t>
      </w:r>
      <w:r>
        <w:t xml:space="preserve"> </w:t>
      </w:r>
      <w:r>
        <w:rPr>
          <w:rStyle w:val="VerbatimChar"/>
        </w:rPr>
        <w:t xml:space="preserve">254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Число подсетей внутри данного блока без дальнейшего деления: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Требуемое разбиение на 3 подсети (126, 62, 62 узла):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172.16.20.0/25</w:t>
      </w:r>
      <w:r>
        <w:t xml:space="preserve"> </w:t>
      </w:r>
      <w:r>
        <w:t xml:space="preserve">— 126 узлов</w:t>
      </w:r>
    </w:p>
    <w:p>
      <w:pPr>
        <w:numPr>
          <w:ilvl w:val="1"/>
          <w:numId w:val="1008"/>
        </w:numPr>
        <w:pStyle w:val="Compact"/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172.16.20.1 – 172.16.20.126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172.16.20.127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172.16.20.128/26</w:t>
      </w:r>
      <w:r>
        <w:t xml:space="preserve"> </w:t>
      </w:r>
      <w:r>
        <w:t xml:space="preserve">— 62 узла</w:t>
      </w:r>
    </w:p>
    <w:p>
      <w:pPr>
        <w:numPr>
          <w:ilvl w:val="1"/>
          <w:numId w:val="1009"/>
        </w:numPr>
        <w:pStyle w:val="Compact"/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172.16.20.129 – 172.16.20.190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172.16.20.191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172.16.20.192/26</w:t>
      </w:r>
      <w:r>
        <w:t xml:space="preserve"> </w:t>
      </w:r>
      <w:r>
        <w:t xml:space="preserve">— 62 узла</w:t>
      </w:r>
    </w:p>
    <w:p>
      <w:pPr>
        <w:numPr>
          <w:ilvl w:val="1"/>
          <w:numId w:val="1010"/>
        </w:numPr>
        <w:pStyle w:val="Compact"/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172.16.20.193 – 172.16.20.254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172.16.20.255</w:t>
      </w:r>
    </w:p>
    <w:bookmarkEnd w:id="28"/>
    <w:bookmarkStart w:id="29" w:name="сеть-10.10.1.6426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10.10.1.64/26</w:t>
      </w:r>
    </w:p>
    <w:p>
      <w:pPr>
        <w:numPr>
          <w:ilvl w:val="0"/>
          <w:numId w:val="1011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/26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10.10.1.127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10.10.1.65 – 10.10.1.126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Число узлов (usable):</w:t>
      </w:r>
      <w:r>
        <w:t xml:space="preserve"> </w:t>
      </w:r>
      <w:r>
        <w:rPr>
          <w:rStyle w:val="VerbatimChar"/>
        </w:rPr>
        <w:t xml:space="preserve">62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Число подсетей внутри данного блока без дальнейшего деления: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Выделение подсети на 30 узлов:</w:t>
      </w:r>
      <w:r>
        <w:t xml:space="preserve"> </w:t>
      </w:r>
      <w:r>
        <w:t xml:space="preserve">требуется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(30 usable).</w:t>
      </w:r>
      <w:r>
        <w:br/>
      </w:r>
      <w:r>
        <w:t xml:space="preserve">Берём младшую из доступных в этом блоке:</w:t>
      </w:r>
    </w:p>
    <w:p>
      <w:pPr>
        <w:numPr>
          <w:ilvl w:val="0"/>
          <w:numId w:val="1012"/>
        </w:numPr>
        <w:pStyle w:val="Compact"/>
      </w:pPr>
      <w:r>
        <w:t xml:space="preserve">Подсеть:</w:t>
      </w:r>
      <w:r>
        <w:t xml:space="preserve"> </w:t>
      </w:r>
      <w:r>
        <w:rPr>
          <w:rStyle w:val="VerbatimChar"/>
        </w:rPr>
        <w:t xml:space="preserve">10.10.1.64/27</w:t>
      </w:r>
    </w:p>
    <w:p>
      <w:pPr>
        <w:numPr>
          <w:ilvl w:val="1"/>
          <w:numId w:val="1013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255.255.255.224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10.10.1.65 – 10.10.1.94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10.10.1.95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Число узлов (usable):</w:t>
      </w:r>
      <w:r>
        <w:t xml:space="preserve"> </w:t>
      </w:r>
      <w:r>
        <w:rPr>
          <w:rStyle w:val="VerbatimChar"/>
        </w:rPr>
        <w:t xml:space="preserve">30</w:t>
      </w:r>
    </w:p>
    <w:p>
      <w:pPr>
        <w:pStyle w:val="FirstParagraph"/>
      </w:pPr>
      <w:r>
        <w:t xml:space="preserve">(Альтернативная в этом же</w:t>
      </w:r>
      <w:r>
        <w:t xml:space="preserve"> </w:t>
      </w:r>
      <w:r>
        <w:rPr>
          <w:rStyle w:val="VerbatimChar"/>
        </w:rPr>
        <w:t xml:space="preserve">/26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 </w:t>
      </w:r>
      <w:r>
        <w:t xml:space="preserve">— диапазон</w:t>
      </w:r>
      <w:r>
        <w:t xml:space="preserve"> </w:t>
      </w:r>
      <w:r>
        <w:rPr>
          <w:rStyle w:val="VerbatimChar"/>
        </w:rPr>
        <w:t xml:space="preserve">10.10.1.97 – 10.10.1.126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.)</w:t>
      </w:r>
    </w:p>
    <w:bookmarkEnd w:id="29"/>
    <w:bookmarkStart w:id="30" w:name="сеть-10.10.1.026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10.10.1.0/26</w:t>
      </w:r>
    </w:p>
    <w:p>
      <w:pPr>
        <w:numPr>
          <w:ilvl w:val="0"/>
          <w:numId w:val="1014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/26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10.10.1.63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10.10.1.1 – 10.10.1.62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Число узлов (usable):</w:t>
      </w:r>
      <w:r>
        <w:t xml:space="preserve"> </w:t>
      </w:r>
      <w:r>
        <w:rPr>
          <w:rStyle w:val="VerbatimChar"/>
        </w:rPr>
        <w:t xml:space="preserve">62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Число подсетей внутри данного блока без дальнейшего деления: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Выделение подсети на 14 узлов:</w:t>
      </w:r>
      <w:r>
        <w:t xml:space="preserve"> </w:t>
      </w:r>
      <w:r>
        <w:t xml:space="preserve">требуется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(14 usable).</w:t>
      </w:r>
      <w:r>
        <w:br/>
      </w:r>
      <w:r>
        <w:t xml:space="preserve">Берём младшую из доступных в этом блоке:</w:t>
      </w:r>
    </w:p>
    <w:p>
      <w:pPr>
        <w:numPr>
          <w:ilvl w:val="0"/>
          <w:numId w:val="1015"/>
        </w:numPr>
        <w:pStyle w:val="Compact"/>
      </w:pPr>
      <w:r>
        <w:t xml:space="preserve">Подсеть:</w:t>
      </w:r>
      <w:r>
        <w:t xml:space="preserve"> </w:t>
      </w:r>
      <w:r>
        <w:rPr>
          <w:rStyle w:val="VerbatimChar"/>
        </w:rPr>
        <w:t xml:space="preserve">10.10.1.0/28</w:t>
      </w:r>
    </w:p>
    <w:p>
      <w:pPr>
        <w:numPr>
          <w:ilvl w:val="1"/>
          <w:numId w:val="1016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10.10.1.1 – 10.10.1.14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10.10.1.15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Число узлов (usable):</w:t>
      </w:r>
      <w:r>
        <w:t xml:space="preserve"> </w:t>
      </w:r>
      <w:r>
        <w:rPr>
          <w:rStyle w:val="VerbatimChar"/>
        </w:rPr>
        <w:t xml:space="preserve">14</w:t>
      </w:r>
    </w:p>
    <w:p>
      <w:pPr>
        <w:pStyle w:val="FirstParagraph"/>
      </w:pPr>
      <w:r>
        <w:t xml:space="preserve">(Альтернативные внутри этого</w:t>
      </w:r>
      <w:r>
        <w:t xml:space="preserve"> </w:t>
      </w:r>
      <w:r>
        <w:rPr>
          <w:rStyle w:val="VerbatimChar"/>
        </w:rPr>
        <w:t xml:space="preserve">/26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10.10.1.32/28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10.10.1.48/28</w:t>
      </w:r>
      <w:r>
        <w:t xml:space="preserve"> </w:t>
      </w:r>
      <w:r>
        <w:t xml:space="preserve">и т. д.)</w:t>
      </w:r>
    </w:p>
    <w:bookmarkEnd w:id="30"/>
    <w:bookmarkStart w:id="31" w:name="разбиение-ipv6-сети-на-подсети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Разбиение IPv6-сети на подсети</w:t>
      </w:r>
    </w:p>
    <w:bookmarkEnd w:id="31"/>
    <w:bookmarkStart w:id="32" w:name="сеть-2001db8c0de48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2001:db8:c0de::/48</w:t>
      </w:r>
    </w:p>
    <w:p>
      <w:pPr>
        <w:pStyle w:val="FirstParagraph"/>
      </w:pPr>
      <w:r>
        <w:rPr>
          <w:bCs/>
          <w:b/>
        </w:rPr>
        <w:t xml:space="preserve">Характеристики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- Маска (hex):</w:t>
      </w:r>
      <w:r>
        <w:t xml:space="preserve"> </w:t>
      </w:r>
      <w:r>
        <w:rPr>
          <w:rStyle w:val="VerbatimChar"/>
        </w:rPr>
        <w:t xml:space="preserve">ffff:ffff:ffff:0000:0000:0000:0000:0000</w:t>
      </w:r>
      <w:r>
        <w:t xml:space="preserve"> </w:t>
      </w:r>
      <w:r>
        <w:t xml:space="preserve">- Тип: documentation/global unicast (внутри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)</w:t>
      </w:r>
      <w:r>
        <w:t xml:space="preserve"> </w:t>
      </w:r>
      <w:r>
        <w:t xml:space="preserve">- Диапазон адресов (краевые значения) всего блока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:</w:t>
      </w:r>
      <w:r>
        <w:br/>
      </w:r>
      <w:r>
        <w:t xml:space="preserve">от</w:t>
      </w:r>
      <w:r>
        <w:t xml:space="preserve"> </w:t>
      </w:r>
      <w:r>
        <w:rPr>
          <w:rStyle w:val="VerbatimChar"/>
        </w:rPr>
        <w:t xml:space="preserve">2001:db8:c0de:0000::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2001:db8:c0de:ffff:ffff:ffff:ffff:ffff</w:t>
      </w:r>
      <w:r>
        <w:br/>
      </w:r>
      <w:r>
        <w:t xml:space="preserve">(в IPv6 нет broadcast-адреса)</w:t>
      </w:r>
    </w:p>
    <w:p>
      <w:pPr>
        <w:pStyle w:val="BodyText"/>
      </w:pPr>
      <w:r>
        <w:rPr>
          <w:bCs/>
          <w:b/>
        </w:rPr>
        <w:t xml:space="preserve">Разбиение на 2 подсети двумя способами</w:t>
      </w:r>
    </w:p>
    <w:p>
      <w:pPr>
        <w:pStyle w:val="BodyText"/>
      </w:pPr>
      <w:r>
        <w:rPr>
          <w:bCs/>
          <w:b/>
        </w:rPr>
        <w:t xml:space="preserve">A. За счёт идентификатора подсети (Subnet ID)</w:t>
      </w:r>
      <w:r>
        <w:br/>
      </w:r>
      <w:r>
        <w:t xml:space="preserve">Берём 1 бит из 16-битного поля Subnet ID (между /48 и /64) ⇒ получаем два равных блока</w:t>
      </w:r>
      <w:r>
        <w:t xml:space="preserve"> </w:t>
      </w:r>
      <w:r>
        <w:rPr>
          <w:rStyle w:val="VerbatimChar"/>
        </w:rPr>
        <w:t xml:space="preserve">/49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2001:db8:c0de:0000::/49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2001:db8:c0de:0000::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2001:db8:c0de:7fff:ffff:ffff:ffff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2001:db8:c0de:8000::/49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2001:db8:c0de:8000::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2001:db8:c0de:ffff:ffff:ffff:ffff</w:t>
      </w:r>
    </w:p>
    <w:p>
      <w:pPr>
        <w:pStyle w:val="FirstParagraph"/>
      </w:pPr>
      <w:r>
        <w:t xml:space="preserve">Каждый</w:t>
      </w:r>
      <w:r>
        <w:t xml:space="preserve"> </w:t>
      </w:r>
      <w:r>
        <w:rPr>
          <w:rStyle w:val="VerbatimChar"/>
        </w:rPr>
        <w:t xml:space="preserve">/49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2^15</w:t>
      </w:r>
      <w:r>
        <w:t xml:space="preserve"> </w:t>
      </w:r>
      <w:r>
        <w:t xml:space="preserve">подсетей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B. За счёт идентификатора интерфейса (Interface ID)</w:t>
      </w:r>
      <w:r>
        <w:br/>
      </w:r>
      <w:r>
        <w:t xml:space="preserve">Выбираем любую подсеть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внутри данного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2001:db8:c0de:0::/64</w:t>
      </w:r>
      <w:r>
        <w:t xml:space="preserve">) и делим её, «заходя» в 64-битное поле Interface ID ⇒ два блока</w:t>
      </w:r>
      <w:r>
        <w:t xml:space="preserve"> </w:t>
      </w:r>
      <w:r>
        <w:rPr>
          <w:rStyle w:val="VerbatimChar"/>
        </w:rPr>
        <w:t xml:space="preserve">/65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2001:db8:c0de:0::/65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2001:db8:c0de:0::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2001:db8:c0de:0:7fff:ffff:ffff:ffff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2001:db8:c0de:0:8000::/65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2001:db8:c0de:0:8000::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2001:db8:c0de:0:ffff:ffff:ffff:ffff</w:t>
      </w:r>
    </w:p>
    <w:bookmarkEnd w:id="32"/>
    <w:bookmarkStart w:id="33" w:name="сеть-2a026b864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2a02:6b8::/64</w:t>
      </w:r>
    </w:p>
    <w:p>
      <w:pPr>
        <w:pStyle w:val="FirstParagraph"/>
      </w:pPr>
      <w:r>
        <w:rPr>
          <w:bCs/>
          <w:b/>
        </w:rPr>
        <w:t xml:space="preserve">Характеристики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- Маска (hex):</w:t>
      </w:r>
      <w:r>
        <w:t xml:space="preserve"> </w:t>
      </w:r>
      <w:r>
        <w:rPr>
          <w:rStyle w:val="VerbatimChar"/>
        </w:rPr>
        <w:t xml:space="preserve">ffff:ffff:ffff:ffff:0000:0000:0000:0000</w:t>
      </w:r>
      <w:r>
        <w:t xml:space="preserve"> </w:t>
      </w:r>
      <w:r>
        <w:t xml:space="preserve">- Диапазон адресов (краевые значения) всего блока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:</w:t>
      </w:r>
      <w:r>
        <w:br/>
      </w:r>
      <w:r>
        <w:t xml:space="preserve">от</w:t>
      </w:r>
      <w:r>
        <w:t xml:space="preserve"> </w:t>
      </w:r>
      <w:r>
        <w:rPr>
          <w:rStyle w:val="VerbatimChar"/>
        </w:rPr>
        <w:t xml:space="preserve">2a02:6b8::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2a02:6b8:0:0:ffff:ffff:ffff:ffff</w:t>
      </w:r>
    </w:p>
    <w:p>
      <w:pPr>
        <w:pStyle w:val="BodyText"/>
      </w:pPr>
      <w:r>
        <w:rPr>
          <w:bCs/>
          <w:b/>
        </w:rPr>
        <w:t xml:space="preserve">Разбиение на 2 подсети двумя способами</w:t>
      </w:r>
    </w:p>
    <w:p>
      <w:pPr>
        <w:pStyle w:val="BodyText"/>
      </w:pPr>
      <w:r>
        <w:rPr>
          <w:bCs/>
          <w:b/>
        </w:rPr>
        <w:t xml:space="preserve">A. За счёт идентификатора подсети (Subnet ID)</w:t>
      </w:r>
      <w:r>
        <w:br/>
      </w:r>
      <w:r>
        <w:t xml:space="preserve">В блоке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rPr>
          <w:bCs/>
          <w:b/>
        </w:rPr>
        <w:t xml:space="preserve">нет</w:t>
      </w:r>
      <w:r>
        <w:t xml:space="preserve"> </w:t>
      </w:r>
      <w:r>
        <w:t xml:space="preserve">оставшихся битов Subnet ID (они уже все использованы к отметке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).</w:t>
      </w:r>
      <w:r>
        <w:br/>
      </w:r>
      <w:r>
        <w:t xml:space="preserve">Разбить «по Subnet ID» невозможно, если у вас только</w:t>
      </w:r>
      <w:r>
        <w:t xml:space="preserve"> </w:t>
      </w:r>
      <w:r>
        <w:rPr>
          <w:rStyle w:val="VerbatimChar"/>
        </w:rPr>
        <w:t xml:space="preserve">/64</w:t>
      </w:r>
      <w:r>
        <w:t xml:space="preserve">. Теоретически, имея агрегат</w:t>
      </w:r>
      <w:r>
        <w:t xml:space="preserve"> </w:t>
      </w:r>
      <w:r>
        <w:rPr>
          <w:rStyle w:val="VerbatimChar"/>
        </w:rPr>
        <w:t xml:space="preserve">/63</w:t>
      </w:r>
      <w:r>
        <w:t xml:space="preserve">, получаем два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2a02:6b8:0:1::/64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B. За счёт идентификатора интерфейса (Interface ID)</w:t>
      </w:r>
      <w:r>
        <w:br/>
      </w:r>
      <w:r>
        <w:t xml:space="preserve">Делим имеющийся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используя старший бит Interface ID ⇒ два</w:t>
      </w:r>
      <w:r>
        <w:t xml:space="preserve"> </w:t>
      </w:r>
      <w:r>
        <w:rPr>
          <w:rStyle w:val="VerbatimChar"/>
        </w:rPr>
        <w:t xml:space="preserve">/65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2a02:6b8::/65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2a02:6b8::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2a02:6b8:0:0:7fff:ffff:ffff:ffff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2a02:6b8:0:0:8000::/65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2a02:6b8:0:0:8000::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2a02:6b8:0:0:ffff:ffff:ffff:ffff</w:t>
      </w:r>
    </w:p>
    <w:bookmarkEnd w:id="33"/>
    <w:bookmarkEnd w:id="34"/>
    <w:bookmarkStart w:id="105" w:name="Xaa98339a1bc9a01348fb7b4bcd912a06bb3c57d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двойного стека адресации IPv4 и IPv6 в локальной сети</w:t>
      </w:r>
    </w:p>
    <w:bookmarkStart w:id="39" w:name="построение-топологии-сети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Построение топологии сети</w:t>
      </w:r>
    </w:p>
    <w:p>
      <w:pPr>
        <w:numPr>
          <w:ilvl w:val="0"/>
          <w:numId w:val="1020"/>
        </w:numPr>
        <w:pStyle w:val="Compact"/>
      </w:pPr>
      <w:r>
        <w:t xml:space="preserve">В GNS3 была смоделирована сеть, состоящая из двух подсетей: IPv4 и IPv6.</w:t>
      </w:r>
      <w:r>
        <w:br/>
      </w:r>
      <w:r>
        <w:t xml:space="preserve">Использованы коммутаторы, маршрутизаторы</w:t>
      </w:r>
      <w:r>
        <w:t xml:space="preserve"> </w:t>
      </w:r>
      <w:r>
        <w:rPr>
          <w:bCs/>
          <w:b/>
        </w:rPr>
        <w:t xml:space="preserve">msk-smahmudov-gw-01</w:t>
      </w:r>
      <w:r>
        <w:t xml:space="preserve"> </w:t>
      </w:r>
      <w:r>
        <w:t xml:space="preserve">(IPv4) и</w:t>
      </w:r>
      <w:r>
        <w:t xml:space="preserve"> </w:t>
      </w:r>
      <w:r>
        <w:rPr>
          <w:bCs/>
          <w:b/>
        </w:rPr>
        <w:t xml:space="preserve">msk-smahmudov-gw-02</w:t>
      </w:r>
      <w:r>
        <w:t xml:space="preserve"> </w:t>
      </w:r>
      <w:r>
        <w:t xml:space="preserve">(IPv6), четыре узла VPCS (PC1–PC4) и сервер с двойным стеком адресации.</w:t>
      </w:r>
      <w:r>
        <w:br/>
      </w:r>
      <w:r>
        <w:t xml:space="preserve">Все устройства переименованы согласно требованиям. Итоговая схема представлена на рисунке.</w:t>
      </w:r>
    </w:p>
    <w:p>
      <w:pPr>
        <w:pStyle w:val="CaptionedFigure"/>
      </w:pPr>
      <w:bookmarkStart w:id="38" w:name="fig:006"/>
      <w:r>
        <w:drawing>
          <wp:inline>
            <wp:extent cx="5334000" cy="3315031"/>
            <wp:effectExtent b="0" l="0" r="0" t="0"/>
            <wp:docPr descr="Рис. 1: Топология сети с двумя подсетями" title="" id="36" name="Picture"/>
            <a:graphic>
              <a:graphicData uri="http://schemas.openxmlformats.org/drawingml/2006/picture">
                <pic:pic>
                  <pic:nvPicPr>
                    <pic:cNvPr descr="0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1: Топология сети с двумя подсетями</w:t>
      </w:r>
    </w:p>
    <w:bookmarkEnd w:id="39"/>
    <w:bookmarkStart w:id="52" w:name="настройка-ipv4-адресации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Настройка IPv4-адресации</w:t>
      </w:r>
    </w:p>
    <w:p>
      <w:pPr>
        <w:numPr>
          <w:ilvl w:val="0"/>
          <w:numId w:val="1021"/>
        </w:numPr>
        <w:pStyle w:val="Compact"/>
      </w:pPr>
      <w:r>
        <w:t xml:space="preserve">На узлах PC1, PC2 и сервере была выполнена настройка IPv4 согласно таблице адресации.</w:t>
      </w:r>
    </w:p>
    <w:p>
      <w:pPr>
        <w:pStyle w:val="FirstParagraph"/>
      </w:pPr>
      <w:r>
        <w:t xml:space="preserve">PC1</w:t>
      </w:r>
      <w:r>
        <w:br/>
      </w:r>
      <w:r>
        <w:t xml:space="preserve">ip 172.16.20.10/25 172.16.20.1</w:t>
      </w:r>
      <w:r>
        <w:br/>
      </w:r>
      <w:r>
        <w:t xml:space="preserve">save</w:t>
      </w:r>
    </w:p>
    <w:p>
      <w:pPr>
        <w:pStyle w:val="BodyText"/>
      </w:pPr>
      <w:r>
        <w:t xml:space="preserve">PC2</w:t>
      </w:r>
      <w:r>
        <w:br/>
      </w:r>
      <w:r>
        <w:t xml:space="preserve">ip 172.16.20.138/25 172.16.20.129</w:t>
      </w:r>
      <w:r>
        <w:br/>
      </w:r>
      <w:r>
        <w:t xml:space="preserve">save</w:t>
      </w:r>
    </w:p>
    <w:p>
      <w:pPr>
        <w:pStyle w:val="BodyText"/>
      </w:pPr>
      <w:r>
        <w:t xml:space="preserve">Server</w:t>
      </w:r>
      <w:r>
        <w:br/>
      </w:r>
      <w:r>
        <w:t xml:space="preserve">ip 64.100.1.10/24 64.100.1.1</w:t>
      </w:r>
      <w:r>
        <w:br/>
      </w:r>
      <w:r>
        <w:t xml:space="preserve">save</w:t>
      </w:r>
    </w:p>
    <w:p>
      <w:pPr>
        <w:pStyle w:val="BodyText"/>
      </w:pPr>
      <w:r>
        <w:t xml:space="preserve">После настройки отображена конфигурация IPv4/IPv6:</w:t>
      </w:r>
    </w:p>
    <w:p>
      <w:pPr>
        <w:pStyle w:val="BodyText"/>
      </w:pPr>
      <w:bookmarkStart w:id="43" w:name="fig:007"/>
      <w:r>
        <w:drawing>
          <wp:inline>
            <wp:extent cx="5303520" cy="5024387"/>
            <wp:effectExtent b="0" l="0" r="0" t="0"/>
            <wp:docPr descr="Просмотр IPv4 и IPv6 на PC1" title="" id="41" name="Picture"/>
            <a:graphic>
              <a:graphicData uri="http://schemas.openxmlformats.org/drawingml/2006/picture">
                <pic:pic>
                  <pic:nvPicPr>
                    <pic:cNvPr descr="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02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  <w:r>
        <w:t xml:space="preserve"> </w:t>
      </w:r>
      <w:bookmarkStart w:id="47" w:name="fig:008"/>
      <w:r>
        <w:drawing>
          <wp:inline>
            <wp:extent cx="5334000" cy="4698573"/>
            <wp:effectExtent b="0" l="0" r="0" t="0"/>
            <wp:docPr descr="Просмотр IPv4 и IPv6 на PC2" title="" id="45" name="Picture"/>
            <a:graphic>
              <a:graphicData uri="http://schemas.openxmlformats.org/drawingml/2006/picture">
                <pic:pic>
                  <pic:nvPicPr>
                    <pic:cNvPr descr="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  <w:bookmarkStart w:id="51" w:name="fig:009"/>
      <w:r>
        <w:drawing>
          <wp:inline>
            <wp:extent cx="5334000" cy="4806061"/>
            <wp:effectExtent b="0" l="0" r="0" t="0"/>
            <wp:docPr descr="Просмотр IPv4 и IPv6 на сервере" title="" id="49" name="Picture"/>
            <a:graphic>
              <a:graphicData uri="http://schemas.openxmlformats.org/drawingml/2006/picture">
                <pic:pic>
                  <pic:nvPicPr>
                    <pic:cNvPr descr="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bookmarkEnd w:id="52"/>
    <w:bookmarkStart w:id="61" w:name="настройка-маршрутизатора-frr-для-ipv4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Настройка маршрутизатора FRR для IPv4</w:t>
      </w:r>
    </w:p>
    <w:p>
      <w:pPr>
        <w:numPr>
          <w:ilvl w:val="0"/>
          <w:numId w:val="1022"/>
        </w:numPr>
        <w:pStyle w:val="Compact"/>
      </w:pPr>
      <w:r>
        <w:t xml:space="preserve">На маршрутизаторе msk-smahmudov-gw-01 были настроены интерфейсы локальной сети:</w:t>
      </w:r>
    </w:p>
    <w:p>
      <w:pPr>
        <w:pStyle w:val="FirstParagraph"/>
      </w:pPr>
      <w:r>
        <w:t xml:space="preserve">interface eth0</w:t>
      </w:r>
      <w:r>
        <w:br/>
      </w:r>
      <w:r>
        <w:t xml:space="preserve">ip address 172.16.20.1/25</w:t>
      </w:r>
      <w:r>
        <w:br/>
      </w:r>
      <w:r>
        <w:t xml:space="preserve">no shutdown</w:t>
      </w:r>
    </w:p>
    <w:p>
      <w:pPr>
        <w:pStyle w:val="BodyText"/>
      </w:pPr>
      <w:r>
        <w:t xml:space="preserve">interface eth1</w:t>
      </w:r>
      <w:r>
        <w:br/>
      </w:r>
      <w:r>
        <w:t xml:space="preserve">ip address 172.16.20.129/25</w:t>
      </w:r>
      <w:r>
        <w:br/>
      </w:r>
      <w:r>
        <w:t xml:space="preserve">no shutdown</w:t>
      </w:r>
    </w:p>
    <w:p>
      <w:pPr>
        <w:pStyle w:val="BodyText"/>
      </w:pPr>
      <w:r>
        <w:t xml:space="preserve">interface eth2</w:t>
      </w:r>
      <w:r>
        <w:br/>
      </w:r>
      <w:r>
        <w:t xml:space="preserve">ip address 64.100.1.1/24</w:t>
      </w:r>
      <w:r>
        <w:br/>
      </w:r>
      <w:r>
        <w:t xml:space="preserve">no shutdown</w:t>
      </w:r>
    </w:p>
    <w:p>
      <w:pPr>
        <w:pStyle w:val="BodyText"/>
      </w:pPr>
      <w:r>
        <w:t xml:space="preserve">Конфигурация сохранена и проверена.</w:t>
      </w:r>
    </w:p>
    <w:p>
      <w:pPr>
        <w:pStyle w:val="BodyText"/>
      </w:pPr>
      <w:bookmarkStart w:id="56" w:name="fig:010"/>
      <w:r>
        <w:drawing>
          <wp:inline>
            <wp:extent cx="5334000" cy="5095164"/>
            <wp:effectExtent b="0" l="0" r="0" t="0"/>
            <wp:docPr descr="Настройка FRR маршрутизатора" title="" id="54" name="Picture"/>
            <a:graphic>
              <a:graphicData uri="http://schemas.openxmlformats.org/drawingml/2006/picture">
                <pic:pic>
                  <pic:nvPicPr>
                    <pic:cNvPr descr="0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  <w:r>
        <w:t xml:space="preserve"> </w:t>
      </w:r>
      <w:bookmarkStart w:id="60" w:name="fig:011"/>
      <w:r>
        <w:drawing>
          <wp:inline>
            <wp:extent cx="5334000" cy="4863556"/>
            <wp:effectExtent b="0" l="0" r="0" t="0"/>
            <wp:docPr descr="Вывод show interface brief" title="" id="58" name="Picture"/>
            <a:graphic>
              <a:graphicData uri="http://schemas.openxmlformats.org/drawingml/2006/picture">
                <pic:pic>
                  <pic:nvPicPr>
                    <pic:cNvPr descr="0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bookmarkEnd w:id="61"/>
    <w:bookmarkStart w:id="66" w:name="проверка-ipv4-связности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Проверка IPv4-связности</w:t>
      </w:r>
    </w:p>
    <w:p>
      <w:pPr>
        <w:numPr>
          <w:ilvl w:val="0"/>
          <w:numId w:val="1023"/>
        </w:numPr>
        <w:pStyle w:val="Compact"/>
      </w:pPr>
      <w:r>
        <w:t xml:space="preserve">Узлы PC1 и PC2 успешно обмениваются ICMP-эхо-запросами между собой и с сервером.</w:t>
      </w:r>
      <w:r>
        <w:br/>
      </w:r>
      <w:r>
        <w:t xml:space="preserve">Также выполнена трассировка маршрута.</w:t>
      </w:r>
    </w:p>
    <w:p>
      <w:pPr>
        <w:pStyle w:val="CaptionedFigure"/>
      </w:pPr>
      <w:bookmarkStart w:id="65" w:name="fig:012"/>
      <w:r>
        <w:drawing>
          <wp:inline>
            <wp:extent cx="5334000" cy="3502925"/>
            <wp:effectExtent b="0" l="0" r="0" t="0"/>
            <wp:docPr descr="Рис. 2: Ping и trace между узлами и сервером" title="" id="63" name="Picture"/>
            <a:graphic>
              <a:graphicData uri="http://schemas.openxmlformats.org/drawingml/2006/picture">
                <pic:pic>
                  <pic:nvPicPr>
                    <pic:cNvPr descr="0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2: Ping и trace между узлами и сервером</w:t>
      </w:r>
    </w:p>
    <w:bookmarkEnd w:id="66"/>
    <w:bookmarkStart w:id="79" w:name="настройка-ipv6-адресации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Настройка IPv6-адресации</w:t>
      </w:r>
    </w:p>
    <w:p>
      <w:pPr>
        <w:numPr>
          <w:ilvl w:val="0"/>
          <w:numId w:val="1024"/>
        </w:numPr>
        <w:pStyle w:val="Compact"/>
      </w:pPr>
      <w:r>
        <w:t xml:space="preserve">Для второй подсети (IPv6) на PC3, PC4 и сервере заданы глобальные адреса.</w:t>
      </w:r>
    </w:p>
    <w:p>
      <w:pPr>
        <w:pStyle w:val="FirstParagraph"/>
      </w:pPr>
      <w:r>
        <w:t xml:space="preserve">PC3</w:t>
      </w:r>
      <w:r>
        <w:br/>
      </w:r>
      <w:r>
        <w:t xml:space="preserve">ip 2001:db8:c0de:12::a/64</w:t>
      </w:r>
      <w:r>
        <w:br/>
      </w:r>
      <w:r>
        <w:t xml:space="preserve">save</w:t>
      </w:r>
    </w:p>
    <w:p>
      <w:pPr>
        <w:pStyle w:val="BodyText"/>
      </w:pPr>
      <w:r>
        <w:t xml:space="preserve">PC4</w:t>
      </w:r>
      <w:r>
        <w:br/>
      </w:r>
      <w:r>
        <w:t xml:space="preserve">ip 2001:db8:c0de:13::a/64</w:t>
      </w:r>
      <w:r>
        <w:br/>
      </w:r>
      <w:r>
        <w:t xml:space="preserve">save</w:t>
      </w:r>
    </w:p>
    <w:p>
      <w:pPr>
        <w:pStyle w:val="BodyText"/>
      </w:pPr>
      <w:r>
        <w:t xml:space="preserve">Server</w:t>
      </w:r>
      <w:r>
        <w:br/>
      </w:r>
      <w:r>
        <w:t xml:space="preserve">ip 2001:db8:c0de:11::a/64</w:t>
      </w:r>
      <w:r>
        <w:br/>
      </w:r>
      <w:r>
        <w:t xml:space="preserve">save</w:t>
      </w:r>
    </w:p>
    <w:p>
      <w:pPr>
        <w:pStyle w:val="BodyText"/>
      </w:pPr>
      <w:r>
        <w:t xml:space="preserve">Проверка параметров IPv6:</w:t>
      </w:r>
    </w:p>
    <w:p>
      <w:pPr>
        <w:pStyle w:val="BodyText"/>
      </w:pPr>
      <w:bookmarkStart w:id="70" w:name="fig:013"/>
      <w:r>
        <w:drawing>
          <wp:inline>
            <wp:extent cx="5334000" cy="4842470"/>
            <wp:effectExtent b="0" l="0" r="0" t="0"/>
            <wp:docPr descr="IPv6 на сервере" title="" id="68" name="Picture"/>
            <a:graphic>
              <a:graphicData uri="http://schemas.openxmlformats.org/drawingml/2006/picture">
                <pic:pic>
                  <pic:nvPicPr>
                    <pic:cNvPr descr="0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bookmarkStart w:id="74" w:name="fig:014"/>
      <w:r>
        <w:drawing>
          <wp:inline>
            <wp:extent cx="5334000" cy="4592927"/>
            <wp:effectExtent b="0" l="0" r="0" t="0"/>
            <wp:docPr descr="IPv6 на PC3" title="" id="72" name="Picture"/>
            <a:graphic>
              <a:graphicData uri="http://schemas.openxmlformats.org/drawingml/2006/picture">
                <pic:pic>
                  <pic:nvPicPr>
                    <pic:cNvPr descr="0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bookmarkStart w:id="78" w:name="fig:015"/>
      <w:r>
        <w:drawing>
          <wp:inline>
            <wp:extent cx="5334000" cy="4530480"/>
            <wp:effectExtent b="0" l="0" r="0" t="0"/>
            <wp:docPr descr="IPv6 на PC4" title="" id="76" name="Picture"/>
            <a:graphic>
              <a:graphicData uri="http://schemas.openxmlformats.org/drawingml/2006/picture">
                <pic:pic>
                  <pic:nvPicPr>
                    <pic:cNvPr descr="1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bookmarkEnd w:id="79"/>
    <w:bookmarkStart w:id="86" w:name="X2788f76ae46c57ba26c386a1ba7de071d6932a0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t xml:space="preserve">Настройка IPv6 на маршрутизаторе VyOS и проверка связности</w:t>
      </w:r>
    </w:p>
    <w:p>
      <w:pPr>
        <w:numPr>
          <w:ilvl w:val="0"/>
          <w:numId w:val="1025"/>
        </w:numPr>
      </w:pPr>
      <w:r>
        <w:t xml:space="preserve">На маршрутизаторе VyOS выполнена установка системы и перезагрузка.</w:t>
      </w:r>
      <w:r>
        <w:br/>
      </w:r>
      <w:r>
        <w:t xml:space="preserve">После перезапуска устройство было переведено в режим конфигурирования и переименовано в</w:t>
      </w:r>
      <w:r>
        <w:t xml:space="preserve"> </w:t>
      </w:r>
      <w:r>
        <w:rPr>
          <w:iCs/>
          <w:i/>
        </w:rPr>
        <w:t xml:space="preserve">msk-smahmudov-gw-02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В соответствии с таблицей адресации назначены IPv6-адреса на все интерфейсы маршрутизатора, а также активирована рассылка Router Advertisement для автоматической конфигурации VPCS-узлов:</w:t>
      </w:r>
    </w:p>
    <w:p>
      <w:pPr>
        <w:numPr>
          <w:ilvl w:val="0"/>
          <w:numId w:val="1026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— подсеть PC3</w:t>
      </w:r>
      <w:r>
        <w:br/>
      </w:r>
      <w:r>
        <w:t xml:space="preserve">Адрес:</w:t>
      </w:r>
      <w:r>
        <w:t xml:space="preserve"> </w:t>
      </w:r>
      <w:r>
        <w:rPr>
          <w:rStyle w:val="VerbatimChar"/>
        </w:rPr>
        <w:t xml:space="preserve">2001:db8:c0de:12::1/64</w:t>
      </w:r>
      <w:r>
        <w:br/>
      </w:r>
      <w:r>
        <w:t xml:space="preserve">RA-префикс:</w:t>
      </w:r>
      <w:r>
        <w:t xml:space="preserve"> </w:t>
      </w:r>
      <w:r>
        <w:rPr>
          <w:rStyle w:val="VerbatimChar"/>
        </w:rPr>
        <w:t xml:space="preserve">2001:db8:c0de:12::/64</w:t>
      </w:r>
    </w:p>
    <w:p>
      <w:pPr>
        <w:numPr>
          <w:ilvl w:val="0"/>
          <w:numId w:val="1026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 подсеть PC4</w:t>
      </w:r>
      <w:r>
        <w:br/>
      </w:r>
      <w:r>
        <w:t xml:space="preserve">Адрес:</w:t>
      </w:r>
      <w:r>
        <w:t xml:space="preserve"> </w:t>
      </w:r>
      <w:r>
        <w:rPr>
          <w:rStyle w:val="VerbatimChar"/>
        </w:rPr>
        <w:t xml:space="preserve">2001:db8:c0de:13::1/64</w:t>
      </w:r>
      <w:r>
        <w:br/>
      </w:r>
      <w:r>
        <w:t xml:space="preserve">RA-префикс:</w:t>
      </w:r>
      <w:r>
        <w:t xml:space="preserve"> </w:t>
      </w:r>
      <w:r>
        <w:rPr>
          <w:rStyle w:val="VerbatimChar"/>
        </w:rPr>
        <w:t xml:space="preserve">2001:db8:c0de:13::/64</w:t>
      </w:r>
    </w:p>
    <w:p>
      <w:pPr>
        <w:numPr>
          <w:ilvl w:val="0"/>
          <w:numId w:val="1026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— соединение с сервером</w:t>
      </w:r>
      <w:r>
        <w:br/>
      </w:r>
      <w:r>
        <w:t xml:space="preserve">Адрес:</w:t>
      </w:r>
      <w:r>
        <w:t xml:space="preserve"> </w:t>
      </w:r>
      <w:r>
        <w:rPr>
          <w:rStyle w:val="VerbatimChar"/>
        </w:rPr>
        <w:t xml:space="preserve">2001:db8:c0de:11::1/64</w:t>
      </w:r>
      <w:r>
        <w:br/>
      </w:r>
      <w:r>
        <w:t xml:space="preserve">RA-префикс:</w:t>
      </w:r>
      <w:r>
        <w:t xml:space="preserve"> </w:t>
      </w:r>
      <w:r>
        <w:rPr>
          <w:rStyle w:val="VerbatimChar"/>
        </w:rPr>
        <w:t xml:space="preserve">2001:db8:c0de:11::/64</w:t>
      </w:r>
    </w:p>
    <w:p>
      <w:pPr>
        <w:pStyle w:val="FirstParagraph"/>
      </w:pPr>
      <w:r>
        <w:t xml:space="preserve">После применения команд конфигурации параметры интерфейсов просмотрены через show interfaces.</w:t>
      </w:r>
    </w:p>
    <w:p>
      <w:pPr>
        <w:pStyle w:val="CaptionedFigure"/>
      </w:pPr>
      <w:r>
        <w:drawing>
          <wp:inline>
            <wp:extent cx="5334000" cy="3406751"/>
            <wp:effectExtent b="0" l="0" r="0" t="0"/>
            <wp:docPr descr="Конфигурация интерфейсов VyOS" title="" id="81" name="Picture"/>
            <a:graphic>
              <a:graphicData uri="http://schemas.openxmlformats.org/drawingml/2006/picture">
                <pic:pic>
                  <pic:nvPicPr>
                    <pic:cNvPr descr="1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интерфейсов VyOS</w:t>
      </w:r>
    </w:p>
    <w:p>
      <w:pPr>
        <w:pStyle w:val="CaptionedFigure"/>
      </w:pPr>
      <w:r>
        <w:drawing>
          <wp:inline>
            <wp:extent cx="5334000" cy="4621039"/>
            <wp:effectExtent b="0" l="0" r="0" t="0"/>
            <wp:docPr descr="Конфигурация интерфейсов VyOS" title="" id="84" name="Picture"/>
            <a:graphic>
              <a:graphicData uri="http://schemas.openxmlformats.org/drawingml/2006/picture">
                <pic:pic>
                  <pic:nvPicPr>
                    <pic:cNvPr descr="1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интерфейсов VyOS</w:t>
      </w:r>
    </w:p>
    <w:bookmarkEnd w:id="86"/>
    <w:bookmarkStart w:id="93" w:name="проверка-ipv6-связности"/>
    <w:p>
      <w:pPr>
        <w:pStyle w:val="Heading3"/>
      </w:pPr>
      <w:r>
        <w:rPr>
          <w:rStyle w:val="SectionNumber"/>
        </w:rPr>
        <w:t xml:space="preserve">3.2.7</w:t>
      </w:r>
      <w:r>
        <w:tab/>
      </w:r>
      <w:r>
        <w:t xml:space="preserve">Проверка IPv6-связности</w:t>
      </w:r>
    </w:p>
    <w:p>
      <w:pPr>
        <w:numPr>
          <w:ilvl w:val="0"/>
          <w:numId w:val="1027"/>
        </w:numPr>
        <w:pStyle w:val="Compact"/>
      </w:pPr>
      <w:r>
        <w:t xml:space="preserve">PC3 и PC4 получили IPv6-адреса автоматически. С их стороны были отправлены ICMPv6-эхо-запросы к серверу двойного стека. Ответы подтверждают корректность маршрутизации в подсети IPv6.</w:t>
      </w:r>
    </w:p>
    <w:p>
      <w:pPr>
        <w:pStyle w:val="FirstParagraph"/>
      </w:pPr>
      <w:r>
        <w:drawing>
          <wp:inline>
            <wp:extent cx="5334000" cy="4272063"/>
            <wp:effectExtent b="0" l="0" r="0" t="0"/>
            <wp:docPr descr="Проверка ICMPv6 и trace с PC3" title="" id="88" name="Picture"/>
            <a:graphic>
              <a:graphicData uri="http://schemas.openxmlformats.org/drawingml/2006/picture">
                <pic:pic>
                  <pic:nvPicPr>
                    <pic:cNvPr descr="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01317"/>
            <wp:effectExtent b="0" l="0" r="0" t="0"/>
            <wp:docPr descr="Проверка ICMPv6 с сервера" title="" id="91" name="Picture"/>
            <a:graphic>
              <a:graphicData uri="http://schemas.openxmlformats.org/drawingml/2006/picture">
                <pic:pic>
                  <pic:nvPicPr>
                    <pic:cNvPr descr="1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4" w:name="разграничение-подсетей-ipv4-и-ipv6"/>
    <w:p>
      <w:pPr>
        <w:pStyle w:val="Heading3"/>
      </w:pPr>
      <w:r>
        <w:rPr>
          <w:rStyle w:val="SectionNumber"/>
        </w:rPr>
        <w:t xml:space="preserve">3.2.8</w:t>
      </w:r>
      <w:r>
        <w:tab/>
      </w:r>
      <w:r>
        <w:t xml:space="preserve">Разграничение подсетей IPv4 и IPv6</w:t>
      </w:r>
    </w:p>
    <w:p>
      <w:pPr>
        <w:numPr>
          <w:ilvl w:val="0"/>
          <w:numId w:val="1028"/>
        </w:numPr>
        <w:pStyle w:val="Compact"/>
      </w:pPr>
      <w:r>
        <w:t xml:space="preserve">Узлы подсети IPv6 не могут обращаться к узлам подсети IPv4 — маршрутизация отсутствует.</w:t>
      </w:r>
      <w:r>
        <w:br/>
      </w:r>
      <w:r>
        <w:t xml:space="preserve">Единственное устройство, доступное обеим подсетям, — сервер двойного стека, имеющий адреса IPv4 и IPv6 одновременно.</w:t>
      </w:r>
    </w:p>
    <w:bookmarkEnd w:id="94"/>
    <w:bookmarkStart w:id="104" w:name="Xa16438feb115210df1f4300c3ceb65bdd50e86f"/>
    <w:p>
      <w:pPr>
        <w:pStyle w:val="Heading3"/>
      </w:pPr>
      <w:r>
        <w:rPr>
          <w:rStyle w:val="SectionNumber"/>
        </w:rPr>
        <w:t xml:space="preserve">3.2.9</w:t>
      </w:r>
      <w:r>
        <w:tab/>
      </w:r>
      <w:r>
        <w:t xml:space="preserve">Анализ перехваченного трафика (ARP, ICMP, ICMPv6)</w:t>
      </w:r>
    </w:p>
    <w:p>
      <w:pPr>
        <w:numPr>
          <w:ilvl w:val="0"/>
          <w:numId w:val="1029"/>
        </w:numPr>
        <w:pStyle w:val="Compact"/>
      </w:pPr>
      <w:r>
        <w:t xml:space="preserve">На линке между сервером и коммутатором был включён захват трафика.</w:t>
      </w:r>
      <w:r>
        <w:br/>
      </w:r>
      <w:r>
        <w:t xml:space="preserve">В захваченных пакетах обнаружены: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ARP-запросы и ответы</w:t>
      </w:r>
      <w:r>
        <w:t xml:space="preserve"> </w:t>
      </w:r>
      <w:r>
        <w:t xml:space="preserve">— определение MAC-адреса для IPv4-адреса сервера или шлюза;</w:t>
      </w:r>
      <w:r>
        <w:br/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ICMP Echo Request / Reply (IPv4)</w:t>
      </w:r>
      <w:r>
        <w:t xml:space="preserve"> </w:t>
      </w:r>
      <w:r>
        <w:t xml:space="preserve">— эхо-запросы между PC1/PC2 и сервером;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ICMPv6 Echo Request / Reply</w:t>
      </w:r>
      <w:r>
        <w:t xml:space="preserve"> </w:t>
      </w:r>
      <w:r>
        <w:t xml:space="preserve">— обмен эхо-пакетами между PC3/PC4 и сервером по IPv6.</w:t>
      </w:r>
    </w:p>
    <w:p>
      <w:pPr>
        <w:pStyle w:val="FirstParagraph"/>
      </w:pPr>
      <w:r>
        <w:t xml:space="preserve">Фрагмент ARP-ответа (сервер сообщает свой MAC-адрес):</w:t>
      </w:r>
    </w:p>
    <w:p>
      <w:pPr>
        <w:pStyle w:val="CaptionedFigure"/>
      </w:pPr>
      <w:r>
        <w:drawing>
          <wp:inline>
            <wp:extent cx="5334000" cy="3160383"/>
            <wp:effectExtent b="0" l="0" r="0" t="0"/>
            <wp:docPr descr="ARP-reply: определение MAC адреса" title="" id="96" name="Picture"/>
            <a:graphic>
              <a:graphicData uri="http://schemas.openxmlformats.org/drawingml/2006/picture">
                <pic:pic>
                  <pic:nvPicPr>
                    <pic:cNvPr descr="1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ARP-reply: определение MAC адреса</w:t>
      </w:r>
    </w:p>
    <w:p>
      <w:pPr>
        <w:pStyle w:val="BodyText"/>
      </w:pPr>
      <w:r>
        <w:t xml:space="preserve">Фрагмент ICMP (IPv4) — успешный обмен с сервером:</w:t>
      </w:r>
    </w:p>
    <w:p>
      <w:pPr>
        <w:pStyle w:val="CaptionedFigure"/>
      </w:pPr>
      <w:r>
        <w:drawing>
          <wp:inline>
            <wp:extent cx="5334000" cy="3164083"/>
            <wp:effectExtent b="0" l="0" r="0" t="0"/>
            <wp:docPr descr="ICMP Echo Reply IPv4" title="" id="99" name="Picture"/>
            <a:graphic>
              <a:graphicData uri="http://schemas.openxmlformats.org/drawingml/2006/picture">
                <pic:pic>
                  <pic:nvPicPr>
                    <pic:cNvPr descr="1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Reply IPv4</w:t>
      </w:r>
    </w:p>
    <w:p>
      <w:pPr>
        <w:pStyle w:val="BodyText"/>
      </w:pPr>
      <w:r>
        <w:t xml:space="preserve">Фрагмент ICMPv6 — передача эхо-запроса по IPv6:</w:t>
      </w:r>
    </w:p>
    <w:p>
      <w:pPr>
        <w:pStyle w:val="CaptionedFigure"/>
      </w:pPr>
      <w:r>
        <w:drawing>
          <wp:inline>
            <wp:extent cx="5334000" cy="3163080"/>
            <wp:effectExtent b="0" l="0" r="0" t="0"/>
            <wp:docPr descr="ICMPv6 Echo Request" title="" id="102" name="Picture"/>
            <a:graphic>
              <a:graphicData uri="http://schemas.openxmlformats.org/drawingml/2006/picture">
                <pic:pic>
                  <pic:nvPicPr>
                    <pic:cNvPr descr="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ICMPv6 Echo Request</w:t>
      </w:r>
    </w:p>
    <w:bookmarkEnd w:id="104"/>
    <w:bookmarkEnd w:id="105"/>
    <w:bookmarkStart w:id="128" w:name="X4c3843d0b1ca6353f45687b014db6106fcaed5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Задание: построение сети с двумя подсетями и двойным стеком</w:t>
      </w:r>
    </w:p>
    <w:bookmarkStart w:id="106" w:name="характеристика-подсетей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Характеристика подсетей</w:t>
      </w:r>
    </w:p>
    <w:p>
      <w:pPr>
        <w:pStyle w:val="FirstParagraph"/>
      </w:pPr>
      <w:r>
        <w:rPr>
          <w:bCs/>
          <w:b/>
        </w:rPr>
        <w:t xml:space="preserve">Подсеть 1 (IPv4/IPv6)</w:t>
      </w:r>
      <w:r>
        <w:br/>
      </w:r>
      <w:r>
        <w:t xml:space="preserve">- IPv4:</w:t>
      </w:r>
      <w:r>
        <w:t xml:space="preserve"> </w:t>
      </w:r>
      <w:r>
        <w:rPr>
          <w:rStyle w:val="VerbatimChar"/>
        </w:rPr>
        <w:t xml:space="preserve">10.10.1.96/27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, объём: 32 адреса</w:t>
      </w:r>
      <w:r>
        <w:br/>
      </w:r>
      <w:r>
        <w:t xml:space="preserve">Сеть: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 </w:t>
      </w:r>
      <w:r>
        <w:t xml:space="preserve">• Шлюз (наим. адрес):</w:t>
      </w:r>
      <w:r>
        <w:t xml:space="preserve"> </w:t>
      </w:r>
      <w:r>
        <w:rPr>
          <w:rStyle w:val="VerbatimChar"/>
        </w:rPr>
        <w:t xml:space="preserve">10.10.1.97</w:t>
      </w:r>
      <w:r>
        <w:br/>
      </w: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10.10.1.98–10.10.1.126</w:t>
      </w:r>
      <w:r>
        <w:t xml:space="preserve"> </w:t>
      </w:r>
      <w:r>
        <w:t xml:space="preserve">• Широковещ.:</w:t>
      </w:r>
      <w:r>
        <w:t xml:space="preserve"> </w:t>
      </w:r>
      <w:r>
        <w:rPr>
          <w:rStyle w:val="VerbatimChar"/>
        </w:rPr>
        <w:t xml:space="preserve">10.10.1.127</w:t>
      </w:r>
      <w:r>
        <w:br/>
      </w:r>
      <w:r>
        <w:t xml:space="preserve">- IPv6:</w:t>
      </w:r>
      <w:r>
        <w:t xml:space="preserve"> </w:t>
      </w:r>
      <w:r>
        <w:rPr>
          <w:rStyle w:val="VerbatimChar"/>
        </w:rPr>
        <w:t xml:space="preserve">2001:db8:1:1::/64</w:t>
      </w:r>
      <w:r>
        <w:br/>
      </w:r>
      <w:r>
        <w:t xml:space="preserve">Сеть/префикс: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• Шлюз (наим. адрес):</w:t>
      </w:r>
      <w:r>
        <w:t xml:space="preserve"> </w:t>
      </w:r>
      <w:r>
        <w:rPr>
          <w:rStyle w:val="VerbatimChar"/>
        </w:rPr>
        <w:t xml:space="preserve">2001:db8:1:1::1</w:t>
      </w:r>
      <w:r>
        <w:br/>
      </w: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2001:db8:1:1::2–2001:db8:1:1:ffff:ffff:ffff:ffff</w:t>
      </w:r>
    </w:p>
    <w:p>
      <w:pPr>
        <w:pStyle w:val="BodyText"/>
      </w:pPr>
      <w:r>
        <w:rPr>
          <w:bCs/>
          <w:b/>
        </w:rPr>
        <w:t xml:space="preserve">Подсеть 2 (IPv4/IPv6)</w:t>
      </w:r>
      <w:r>
        <w:br/>
      </w:r>
      <w:r>
        <w:t xml:space="preserve">- IPv4:</w:t>
      </w:r>
      <w:r>
        <w:t xml:space="preserve"> </w:t>
      </w:r>
      <w:r>
        <w:rPr>
          <w:rStyle w:val="VerbatimChar"/>
        </w:rPr>
        <w:t xml:space="preserve">10.10.1.16/28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, объём: 16 адресов</w:t>
      </w:r>
      <w:r>
        <w:br/>
      </w:r>
      <w:r>
        <w:t xml:space="preserve">Сеть: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 </w:t>
      </w:r>
      <w:r>
        <w:t xml:space="preserve">• Шлюз (наим. адрес):</w:t>
      </w:r>
      <w:r>
        <w:t xml:space="preserve"> </w:t>
      </w:r>
      <w:r>
        <w:rPr>
          <w:rStyle w:val="VerbatimChar"/>
        </w:rPr>
        <w:t xml:space="preserve">10.10.1.17</w:t>
      </w:r>
      <w:r>
        <w:br/>
      </w: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10.10.1.18–10.10.1.30</w:t>
      </w:r>
      <w:r>
        <w:t xml:space="preserve"> </w:t>
      </w:r>
      <w:r>
        <w:t xml:space="preserve">• Широковещ.:</w:t>
      </w:r>
      <w:r>
        <w:t xml:space="preserve"> </w:t>
      </w:r>
      <w:r>
        <w:rPr>
          <w:rStyle w:val="VerbatimChar"/>
        </w:rPr>
        <w:t xml:space="preserve">10.10.1.31</w:t>
      </w:r>
      <w:r>
        <w:br/>
      </w:r>
      <w:r>
        <w:t xml:space="preserve">- IPv6:</w:t>
      </w:r>
      <w:r>
        <w:t xml:space="preserve"> </w:t>
      </w:r>
      <w:r>
        <w:rPr>
          <w:rStyle w:val="VerbatimChar"/>
        </w:rPr>
        <w:t xml:space="preserve">2001:db8:1:4::/64</w:t>
      </w:r>
      <w:r>
        <w:br/>
      </w:r>
      <w:r>
        <w:t xml:space="preserve">Сеть/префикс: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 </w:t>
      </w:r>
      <w:r>
        <w:t xml:space="preserve">• Шлюз (наим. адрес):</w:t>
      </w:r>
      <w:r>
        <w:t xml:space="preserve"> </w:t>
      </w:r>
      <w:r>
        <w:rPr>
          <w:rStyle w:val="VerbatimChar"/>
        </w:rPr>
        <w:t xml:space="preserve">2001:db8:1:4::1</w:t>
      </w:r>
      <w:r>
        <w:br/>
      </w: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2001:db8:1:4::2–2001:db8:1:4:ffff:ffff:ffff:ffff</w:t>
      </w:r>
    </w:p>
    <w:bookmarkEnd w:id="106"/>
    <w:bookmarkStart w:id="110" w:name="таблица-адресации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Таблица адресации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IPv4-адрес/маска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 (IPv4)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IPv6-адрес/префикс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 (IPv6)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msk-smahmudov-gw-01 (VyOS)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PC1-smahmudov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10.10.1.100/27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2001:db8:1:1::a/64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2001:db8:1:1::1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PC2-smahmudov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10.10.1.20/28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2001:db8:1:4::a/64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2001:db8:1:4::1</w:t>
            </w:r>
          </w:p>
        </w:tc>
      </w:tr>
    </w:tbl>
    <w:p>
      <w:pPr>
        <w:pStyle w:val="BodyText"/>
      </w:pPr>
      <w:r>
        <w:t xml:space="preserve">Топология проекта:</w:t>
      </w:r>
    </w:p>
    <w:p>
      <w:pPr>
        <w:pStyle w:val="CaptionedFigure"/>
      </w:pPr>
      <w:r>
        <w:drawing>
          <wp:inline>
            <wp:extent cx="5334000" cy="1625334"/>
            <wp:effectExtent b="0" l="0" r="0" t="0"/>
            <wp:docPr descr="Топология" title="" id="108" name="Picture"/>
            <a:graphic>
              <a:graphicData uri="http://schemas.openxmlformats.org/drawingml/2006/picture">
                <pic:pic>
                  <pic:nvPicPr>
                    <pic:cNvPr descr="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</w:t>
      </w:r>
    </w:p>
    <w:bookmarkEnd w:id="110"/>
    <w:bookmarkStart w:id="120" w:name="настройка-адресации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Настройка адресации</w:t>
      </w:r>
    </w:p>
    <w:p>
      <w:pPr>
        <w:numPr>
          <w:ilvl w:val="0"/>
          <w:numId w:val="1031"/>
        </w:numPr>
        <w:pStyle w:val="Compact"/>
      </w:pPr>
      <w:r>
        <w:t xml:space="preserve">На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заданы IPv4-адреса и шлюзы, а также глобальные IPv6-адреса согласно таблице.</w:t>
      </w:r>
      <w:r>
        <w:br/>
      </w:r>
      <w:r>
        <w:t xml:space="preserve">Проверка параметров на узлах:</w:t>
      </w:r>
    </w:p>
    <w:p>
      <w:pPr>
        <w:pStyle w:val="FirstParagraph"/>
      </w:pPr>
      <w:r>
        <w:drawing>
          <wp:inline>
            <wp:extent cx="5334000" cy="4485987"/>
            <wp:effectExtent b="0" l="0" r="0" t="0"/>
            <wp:docPr descr="PC1 show ip/ipv6" title="" id="112" name="Picture"/>
            <a:graphic>
              <a:graphicData uri="http://schemas.openxmlformats.org/drawingml/2006/picture">
                <pic:pic>
                  <pic:nvPicPr>
                    <pic:cNvPr descr="1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49703"/>
            <wp:effectExtent b="0" l="0" r="0" t="0"/>
            <wp:docPr descr="PC2 show ip/ipv6" title="" id="115" name="Picture"/>
            <a:graphic>
              <a:graphicData uri="http://schemas.openxmlformats.org/drawingml/2006/picture">
                <pic:pic>
                  <pic:nvPicPr>
                    <pic:cNvPr descr="2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9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2"/>
        </w:numPr>
        <w:pStyle w:val="Compact"/>
      </w:pPr>
      <w:r>
        <w:t xml:space="preserve">На</w:t>
      </w:r>
      <w:r>
        <w:t xml:space="preserve"> </w:t>
      </w:r>
      <w:r>
        <w:rPr>
          <w:bCs/>
          <w:b/>
        </w:rPr>
        <w:t xml:space="preserve">msk-smahmudov-gw-01 (VyOS)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интерфейсы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получили минимальные адреса подсетей (см. таблицу);</w:t>
      </w:r>
    </w:p>
    <w:p>
      <w:pPr>
        <w:numPr>
          <w:ilvl w:val="1"/>
          <w:numId w:val="1033"/>
        </w:numPr>
        <w:pStyle w:val="Compact"/>
      </w:pPr>
      <w:r>
        <w:t xml:space="preserve">включена рассылка Router Advertisement (RA) для префиксов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 </w:t>
      </w:r>
      <w:r>
        <w:t xml:space="preserve">для автоконфигурации хостов.</w:t>
      </w:r>
    </w:p>
    <w:p>
      <w:pPr>
        <w:pStyle w:val="CaptionedFigure"/>
      </w:pPr>
      <w:r>
        <w:drawing>
          <wp:inline>
            <wp:extent cx="5334000" cy="3358682"/>
            <wp:effectExtent b="0" l="0" r="0" t="0"/>
            <wp:docPr descr="Фрагмент конфигурации VyOS" title="" id="118" name="Picture"/>
            <a:graphic>
              <a:graphicData uri="http://schemas.openxmlformats.org/drawingml/2006/picture">
                <pic:pic>
                  <pic:nvPicPr>
                    <pic:cNvPr descr="2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конфигурации VyOS</w:t>
      </w:r>
    </w:p>
    <w:bookmarkEnd w:id="120"/>
    <w:bookmarkStart w:id="127" w:name="проверка-связности-pingtrace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Проверка связности (ping/trace)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IPv4</w:t>
      </w:r>
      <w:r>
        <w:t xml:space="preserve">: PC1 ↔ PC2 — успешный обмен ICMP-эхо.</w:t>
      </w:r>
    </w:p>
    <w:p>
      <w:pPr>
        <w:pStyle w:val="CaptionedFigure"/>
      </w:pPr>
      <w:r>
        <w:drawing>
          <wp:inline>
            <wp:extent cx="5334000" cy="1457901"/>
            <wp:effectExtent b="0" l="0" r="0" t="0"/>
            <wp:docPr descr="Ping IPv4 PC1→PC2" title="" id="122" name="Picture"/>
            <a:graphic>
              <a:graphicData uri="http://schemas.openxmlformats.org/drawingml/2006/picture">
                <pic:pic>
                  <pic:nvPicPr>
                    <pic:cNvPr descr="2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IPv4 PC1→PC2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IPv6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PC1 ↔ GW (</w:t>
      </w:r>
      <w:r>
        <w:rPr>
          <w:rStyle w:val="VerbatimChar"/>
        </w:rPr>
        <w:t xml:space="preserve">2001:db8:1:1::1</w:t>
      </w:r>
      <w:r>
        <w:t xml:space="preserve">) — ответы получены;</w:t>
      </w:r>
      <w:r>
        <w:br/>
      </w:r>
    </w:p>
    <w:p>
      <w:pPr>
        <w:numPr>
          <w:ilvl w:val="1"/>
          <w:numId w:val="1036"/>
        </w:numPr>
        <w:pStyle w:val="Compact"/>
      </w:pPr>
      <w:r>
        <w:t xml:space="preserve">PC1 ↔ GW подсети 2 (</w:t>
      </w:r>
      <w:r>
        <w:rPr>
          <w:rStyle w:val="VerbatimChar"/>
        </w:rPr>
        <w:t xml:space="preserve">2001:db8:1:4::1</w:t>
      </w:r>
      <w:r>
        <w:t xml:space="preserve">) — маршрутизация через VyOS;</w:t>
      </w:r>
      <w:r>
        <w:br/>
      </w:r>
    </w:p>
    <w:p>
      <w:pPr>
        <w:numPr>
          <w:ilvl w:val="1"/>
          <w:numId w:val="1036"/>
        </w:numPr>
        <w:pStyle w:val="Compact"/>
      </w:pPr>
      <w:r>
        <w:t xml:space="preserve">PC1 ↔ PC2 (</w:t>
      </w:r>
      <w:r>
        <w:rPr>
          <w:rStyle w:val="VerbatimChar"/>
        </w:rPr>
        <w:t xml:space="preserve">2001:db8:1:4::a</w:t>
      </w:r>
      <w:r>
        <w:t xml:space="preserve">) — успешные ответы.</w:t>
      </w:r>
    </w:p>
    <w:p>
      <w:pPr>
        <w:pStyle w:val="CaptionedFigure"/>
      </w:pPr>
      <w:r>
        <w:drawing>
          <wp:inline>
            <wp:extent cx="5334000" cy="4260383"/>
            <wp:effectExtent b="0" l="0" r="0" t="0"/>
            <wp:docPr descr="Ping IPv6 PC1→GW/PC2" title="" id="125" name="Picture"/>
            <a:graphic>
              <a:graphicData uri="http://schemas.openxmlformats.org/drawingml/2006/picture">
                <pic:pic>
                  <pic:nvPicPr>
                    <pic:cNvPr descr="2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IPv6 PC1→GW/PC2</w:t>
      </w:r>
    </w:p>
    <w:bookmarkEnd w:id="127"/>
    <w:bookmarkEnd w:id="128"/>
    <w:bookmarkEnd w:id="129"/>
    <w:bookmarkStart w:id="130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спроектирована сеть с двумя подсетями и реализован двойной стек адресации IPv4/IPv6. На маршрутизаторах</w:t>
      </w:r>
      <w:r>
        <w:t xml:space="preserve"> </w:t>
      </w:r>
      <w:r>
        <w:rPr>
          <w:bCs/>
          <w:b/>
        </w:rPr>
        <w:t xml:space="preserve">FRRouting (FRR)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выполнена настройка интерфейсов, включая назначение минимальных адресов подсетей и активацию рассылки Router Advertisement для автоматической IPv6-конфигурации узлов. На конечных устройствах успешно настроены IPv4- и IPv6-адреса, проверена связность с использованием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</w:t>
      </w:r>
    </w:p>
    <w:p>
      <w:pPr>
        <w:pStyle w:val="BodyText"/>
      </w:pPr>
      <w:r>
        <w:t xml:space="preserve">Дополнительно проведён анализ сетевого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, что позволило визуально убедиться в корректной работе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,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ICMPv6</w:t>
      </w:r>
      <w:r>
        <w:t xml:space="preserve">, а также проследить процесс определения MAC-адресов и обмена эхо-запросами между устройствами. Полученные результаты подтверждают правильность построенной топологии и корректность настройки сетевой адресации.</w:t>
      </w:r>
    </w:p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Суннатилло Махмудов</dc:creator>
  <dc:language>ru-RU</dc:language>
  <cp:keywords/>
  <dcterms:created xsi:type="dcterms:W3CDTF">2025-11-08T13:09:24Z</dcterms:created>
  <dcterms:modified xsi:type="dcterms:W3CDTF">2025-11-08T13:09:24Z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