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7</w:t>
      </w:r>
    </w:p>
    <w:p>
      <w:pPr>
        <w:pStyle w:val="Subtitle"/>
      </w:pPr>
      <w:r>
        <w:t xml:space="preserve">Учёт</w:t>
      </w:r>
      <w:r>
        <w:t xml:space="preserve"> </w:t>
      </w:r>
      <w:r>
        <w:t xml:space="preserve">физических</w:t>
      </w:r>
      <w:r>
        <w:t xml:space="preserve"> </w:t>
      </w:r>
      <w:r>
        <w:t xml:space="preserve">параметров</w:t>
      </w:r>
      <w:r>
        <w:t xml:space="preserve"> </w:t>
      </w:r>
      <w:r>
        <w:t xml:space="preserve">сети</w:t>
      </w:r>
    </w:p>
    <w:p>
      <w:pPr>
        <w:pStyle w:val="Author"/>
      </w:pPr>
      <w:r>
        <w:t xml:space="preserve">Суннатилло</w:t>
      </w:r>
      <w:r>
        <w:t xml:space="preserve"> </w:t>
      </w:r>
      <w:r>
        <w:t xml:space="preserve">Махмудов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Получить навыки работы с физической рабочей областью Packet Tracer, а также учесть физические параметры сети.</w:t>
      </w:r>
    </w:p>
    <w:bookmarkEnd w:id="20"/>
    <w:bookmarkStart w:id="21" w:name="теоретические-сведения-по-работ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Теоретические сведения по работе</w:t>
      </w:r>
    </w:p>
    <w:p>
      <w:pPr>
        <w:pStyle w:val="FirstParagraph"/>
      </w:pPr>
      <w:r>
        <w:t xml:space="preserve">Передача данных в компьютерных сетях осуществляется с использованием различных сред передачи, каждая из которых обладает своими характеристиками и областью применения. Выбор среды передачи напрямую влияет на производительность, надёжность и стоимость сети.</w:t>
      </w:r>
    </w:p>
    <w:p>
      <w:pPr>
        <w:pStyle w:val="BodyText"/>
      </w:pPr>
      <w:r>
        <w:t xml:space="preserve">К основным видам сред передачи данных относятся проводные и беспроводные технологии. К проводным относятся витая пара, коаксиальный кабель и оптоволоконный кабель. Беспроводные среды включают радиоканал, Wi-Fi и другие технологии передачи данных без использования кабеля.</w:t>
      </w:r>
    </w:p>
    <w:p>
      <w:pPr>
        <w:pStyle w:val="BodyText"/>
      </w:pPr>
      <w:r>
        <w:rPr>
          <w:bCs/>
          <w:b/>
        </w:rPr>
        <w:t xml:space="preserve">Витая пара</w:t>
      </w:r>
      <w:r>
        <w:t xml:space="preserve"> </w:t>
      </w:r>
      <w:r>
        <w:t xml:space="preserve">является наиболее распространённой средой передачи данных в локальных сетях. Она представляет собой медный кабель, состоящий из скрученных попарно проводников. Скручивание снижает влияние электромагнитных помех. Витая пара подразделяется на категории (Cat5, Cat5e, Cat6 и выше), которые различаются по пропускной способности и рабочей частоте. Основным ограничением является длина сегмента — как правило, не более 100 метров.</w:t>
      </w:r>
    </w:p>
    <w:p>
      <w:pPr>
        <w:pStyle w:val="BodyText"/>
      </w:pPr>
      <w:r>
        <w:rPr>
          <w:bCs/>
          <w:b/>
        </w:rPr>
        <w:t xml:space="preserve">Оптоволоконный кабель</w:t>
      </w:r>
      <w:r>
        <w:t xml:space="preserve"> </w:t>
      </w:r>
      <w:r>
        <w:t xml:space="preserve">передаёт данные с помощью световых сигналов. Он обладает высокой пропускной способностью, устойчив к электромагнитным помехам и позволяет передавать данные на большие расстояния. Существуют два типа оптоволокна: одномодовое и многомодовое. Одномодовое используется для магистральных линий связи, а многомодовое — для коротких соединений внутри зданий.</w:t>
      </w:r>
    </w:p>
    <w:p>
      <w:pPr>
        <w:pStyle w:val="BodyText"/>
      </w:pPr>
      <w:r>
        <w:rPr>
          <w:bCs/>
          <w:b/>
        </w:rPr>
        <w:t xml:space="preserve">Коаксиальный кабель</w:t>
      </w:r>
      <w:r>
        <w:t xml:space="preserve"> </w:t>
      </w:r>
      <w:r>
        <w:t xml:space="preserve">представляет собой проводник, окружённый экраном, который защищает сигнал от помех. В настоящее время используется реже, но может применяться в специализированных сетях и системах передачи телевидения.</w:t>
      </w:r>
    </w:p>
    <w:p>
      <w:pPr>
        <w:pStyle w:val="BodyText"/>
      </w:pPr>
      <w:r>
        <w:t xml:space="preserve">При проектировании сети необходимо учитывать такие параметры среды передачи, как пропускная способность, длина линии, затухание сигнала, устойчивость к помехам, стоимость и условия эксплуатации.</w:t>
      </w:r>
    </w:p>
    <w:p>
      <w:pPr>
        <w:pStyle w:val="BodyText"/>
      </w:pPr>
      <w:r>
        <w:t xml:space="preserve">Важным фактором является ограничение длины кабеля. При превышении допустимой длины сигнал ослабляется, что может привести к потере пакетов и невозможности передачи данных. Для решения данной проблемы применяются сетевые устройства, такие как повторители (Repeater), которые усиливают сигнал и позволяют увеличить протяжённость линии.</w:t>
      </w:r>
    </w:p>
    <w:p>
      <w:pPr>
        <w:pStyle w:val="BodyText"/>
      </w:pPr>
      <w:r>
        <w:t xml:space="preserve">В современных сетях также широко применяется комбинированный подход, при котором внутри зданий используется витая пара, а для соединения удалённых сегментов — оптоволоконные линии связи.</w:t>
      </w:r>
    </w:p>
    <w:bookmarkEnd w:id="21"/>
    <w:bookmarkStart w:id="62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p>
      <w:pPr>
        <w:numPr>
          <w:ilvl w:val="0"/>
          <w:numId w:val="1001"/>
        </w:numPr>
      </w:pPr>
      <w:r>
        <w:t xml:space="preserve">В физической рабочей области Packet Tracer был задан город с названием Moscow. После выбора города было открыто представление с вложенными объектами, отображающими инфраструктуру.</w:t>
      </w:r>
    </w:p>
    <w:p>
      <w:pPr>
        <w:numPr>
          <w:ilvl w:val="0"/>
          <w:numId w:val="1000"/>
        </w:numPr>
        <w:pStyle w:val="CaptionedFigure"/>
      </w:pPr>
      <w:bookmarkStart w:id="25" w:name="fig:007"/>
      <w:r>
        <w:drawing>
          <wp:inline>
            <wp:extent cx="5334000" cy="4093203"/>
            <wp:effectExtent b="0" l="0" r="0" t="0"/>
            <wp:docPr descr="Рис. 1: Город Moscow в физической области" title="" id="23" name="Picture"/>
            <a:graphic>
              <a:graphicData uri="http://schemas.openxmlformats.org/drawingml/2006/picture">
                <pic:pic>
                  <pic:nvPicPr>
                    <pic:cNvPr descr="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3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5"/>
    </w:p>
    <w:p>
      <w:pPr>
        <w:numPr>
          <w:ilvl w:val="0"/>
          <w:numId w:val="1000"/>
        </w:numPr>
        <w:pStyle w:val="ImageCaption"/>
      </w:pPr>
      <w:r>
        <w:t xml:space="preserve">Рис. 1: Город Moscow в физической области</w:t>
      </w:r>
    </w:p>
    <w:p>
      <w:pPr>
        <w:numPr>
          <w:ilvl w:val="0"/>
          <w:numId w:val="1001"/>
        </w:numPr>
      </w:pPr>
      <w:r>
        <w:t xml:space="preserve">При переходе внутрь города было отображено здание, которому было присвоено название Donskaya. Дополнительно было создано второе здание для другой территории с названием Pavlovskaya.</w:t>
      </w:r>
    </w:p>
    <w:p>
      <w:pPr>
        <w:numPr>
          <w:ilvl w:val="0"/>
          <w:numId w:val="1000"/>
        </w:numPr>
        <w:pStyle w:val="CaptionedFigure"/>
      </w:pPr>
      <w:bookmarkStart w:id="29" w:name="fig:008"/>
      <w:r>
        <w:drawing>
          <wp:inline>
            <wp:extent cx="5334000" cy="2382750"/>
            <wp:effectExtent b="0" l="0" r="0" t="0"/>
            <wp:docPr descr="Рис. 2: Здания Donskaya и Pavlovskaya" title="" id="27" name="Picture"/>
            <a:graphic>
              <a:graphicData uri="http://schemas.openxmlformats.org/drawingml/2006/picture">
                <pic:pic>
                  <pic:nvPicPr>
                    <pic:cNvPr descr="0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2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"/>
    </w:p>
    <w:p>
      <w:pPr>
        <w:numPr>
          <w:ilvl w:val="0"/>
          <w:numId w:val="1000"/>
        </w:numPr>
        <w:pStyle w:val="ImageCaption"/>
      </w:pPr>
      <w:r>
        <w:t xml:space="preserve">Рис. 2: Здания Donskaya и Pavlovskaya</w:t>
      </w:r>
    </w:p>
    <w:p>
      <w:pPr>
        <w:numPr>
          <w:ilvl w:val="0"/>
          <w:numId w:val="1001"/>
        </w:numPr>
      </w:pPr>
      <w:r>
        <w:t xml:space="preserve">В здании Donskaya было размещено серверное помещение (Main Wiring Closet), куда перемещено соответствующее оборудование. Внутри стойки размещены коммутаторы и сервер.</w:t>
      </w:r>
    </w:p>
    <w:p>
      <w:pPr>
        <w:numPr>
          <w:ilvl w:val="0"/>
          <w:numId w:val="1000"/>
        </w:numPr>
      </w:pPr>
      <w:r>
        <w:t xml:space="preserve">В составе стойки присутствуют:</w:t>
      </w:r>
      <w:r>
        <w:t xml:space="preserve"> </w:t>
      </w:r>
      <w:r>
        <w:t xml:space="preserve">– коммутаторы msk-donskaya-smahmudov-sw-1…sw-4;</w:t>
      </w:r>
      <w:r>
        <w:br/>
      </w:r>
      <w:r>
        <w:t xml:space="preserve">– сервер web-smahmudov;</w:t>
      </w:r>
      <w:r>
        <w:br/>
      </w:r>
      <w:r>
        <w:t xml:space="preserve">– распределительное устройство питания (Power Distribution Device).</w:t>
      </w:r>
    </w:p>
    <w:p>
      <w:pPr>
        <w:numPr>
          <w:ilvl w:val="0"/>
          <w:numId w:val="1000"/>
        </w:numPr>
        <w:pStyle w:val="CaptionedFigure"/>
      </w:pPr>
      <w:bookmarkStart w:id="33" w:name="fig:009"/>
      <w:r>
        <w:drawing>
          <wp:inline>
            <wp:extent cx="3865068" cy="4664208"/>
            <wp:effectExtent b="0" l="0" r="0" t="0"/>
            <wp:docPr descr="Рис. 3: Серверная стойка Donskaya" title="" id="31" name="Picture"/>
            <a:graphic>
              <a:graphicData uri="http://schemas.openxmlformats.org/drawingml/2006/picture">
                <pic:pic>
                  <pic:nvPicPr>
                    <pic:cNvPr descr="0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5068" cy="4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3"/>
    </w:p>
    <w:p>
      <w:pPr>
        <w:numPr>
          <w:ilvl w:val="0"/>
          <w:numId w:val="1000"/>
        </w:numPr>
        <w:pStyle w:val="ImageCaption"/>
      </w:pPr>
      <w:r>
        <w:t xml:space="preserve">Рис. 3: Серверная стойка Donskaya</w:t>
      </w:r>
    </w:p>
    <w:p>
      <w:pPr>
        <w:numPr>
          <w:ilvl w:val="0"/>
          <w:numId w:val="1001"/>
        </w:numPr>
      </w:pPr>
      <w:r>
        <w:t xml:space="preserve">В серверном помещении были подключены оконечные устройства (ПК), соединённые с коммутаторами. Топология реализована в виде звезды с использованием коммутатора.</w:t>
      </w:r>
    </w:p>
    <w:p>
      <w:pPr>
        <w:numPr>
          <w:ilvl w:val="0"/>
          <w:numId w:val="1000"/>
        </w:numPr>
        <w:pStyle w:val="CaptionedFigure"/>
      </w:pPr>
      <w:bookmarkStart w:id="37" w:name="fig:010"/>
      <w:r>
        <w:drawing>
          <wp:inline>
            <wp:extent cx="5334000" cy="4167407"/>
            <wp:effectExtent b="0" l="0" r="0" t="0"/>
            <wp:docPr descr="Рис. 4: Подключение ПК в Donskaya" title="" id="35" name="Picture"/>
            <a:graphic>
              <a:graphicData uri="http://schemas.openxmlformats.org/drawingml/2006/picture">
                <pic:pic>
                  <pic:nvPicPr>
                    <pic:cNvPr descr="0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7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7"/>
    </w:p>
    <w:p>
      <w:pPr>
        <w:numPr>
          <w:ilvl w:val="0"/>
          <w:numId w:val="1000"/>
        </w:numPr>
        <w:pStyle w:val="ImageCaption"/>
      </w:pPr>
      <w:r>
        <w:t xml:space="preserve">Рис. 4: Подключение ПК в Donskaya</w:t>
      </w:r>
    </w:p>
    <w:p>
      <w:pPr>
        <w:numPr>
          <w:ilvl w:val="0"/>
          <w:numId w:val="1001"/>
        </w:numPr>
      </w:pPr>
      <w:r>
        <w:t xml:space="preserve">Аналогично была выполнена настройка для здания Pavlovskaya, где размещены коммутатор msk-pavlovskaya-sw-1 и два оконечных устройства:</w:t>
      </w:r>
      <w:r>
        <w:t xml:space="preserve"> </w:t>
      </w:r>
      <w:r>
        <w:t xml:space="preserve">– dk-smahmudov-pavlovskaya-1;</w:t>
      </w:r>
      <w:r>
        <w:br/>
      </w:r>
      <w:r>
        <w:t xml:space="preserve">– other-smahmudov-pavlovskaya-1.</w:t>
      </w:r>
    </w:p>
    <w:p>
      <w:pPr>
        <w:numPr>
          <w:ilvl w:val="0"/>
          <w:numId w:val="1000"/>
        </w:numPr>
        <w:pStyle w:val="CaptionedFigure"/>
      </w:pPr>
      <w:bookmarkStart w:id="41" w:name="fig:011"/>
      <w:r>
        <w:drawing>
          <wp:inline>
            <wp:extent cx="5334000" cy="3090672"/>
            <wp:effectExtent b="0" l="0" r="0" t="0"/>
            <wp:docPr descr="Рис. 5: Подключение ПК в Pavlovskaya" title="" id="39" name="Picture"/>
            <a:graphic>
              <a:graphicData uri="http://schemas.openxmlformats.org/drawingml/2006/picture">
                <pic:pic>
                  <pic:nvPicPr>
                    <pic:cNvPr descr="0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0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1"/>
    </w:p>
    <w:p>
      <w:pPr>
        <w:numPr>
          <w:ilvl w:val="0"/>
          <w:numId w:val="1000"/>
        </w:numPr>
        <w:pStyle w:val="ImageCaption"/>
      </w:pPr>
      <w:r>
        <w:t xml:space="preserve">Рис. 5: Подключение ПК в Pavlovskaya</w:t>
      </w:r>
    </w:p>
    <w:p>
      <w:pPr>
        <w:numPr>
          <w:ilvl w:val="0"/>
          <w:numId w:val="1001"/>
        </w:numPr>
      </w:pPr>
      <w:r>
        <w:t xml:space="preserve">После возврата в логическую рабочую область была проверена связность сети. С коммутатора msk-donskaya-smahmudov-sw-1 выполнена команда ping до коммутатора msk-pavlovskaya-sw-1.</w:t>
      </w:r>
    </w:p>
    <w:p>
      <w:pPr>
        <w:numPr>
          <w:ilvl w:val="0"/>
          <w:numId w:val="1000"/>
        </w:numPr>
      </w:pPr>
      <w:r>
        <w:t xml:space="preserve">В результате получен успешный ответ, что подтверждает корректность соединения.</w:t>
      </w:r>
    </w:p>
    <w:p>
      <w:pPr>
        <w:numPr>
          <w:ilvl w:val="0"/>
          <w:numId w:val="1000"/>
        </w:numPr>
        <w:pStyle w:val="CaptionedFigure"/>
      </w:pPr>
      <w:bookmarkStart w:id="45" w:name="fig:012"/>
      <w:r>
        <w:drawing>
          <wp:inline>
            <wp:extent cx="5033042" cy="1337021"/>
            <wp:effectExtent b="0" l="0" r="0" t="0"/>
            <wp:docPr descr="Рис. 6: Успешный ping между коммутаторами" title="" id="43" name="Picture"/>
            <a:graphic>
              <a:graphicData uri="http://schemas.openxmlformats.org/drawingml/2006/picture">
                <pic:pic>
                  <pic:nvPicPr>
                    <pic:cNvPr descr="0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3042" cy="133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5"/>
    </w:p>
    <w:p>
      <w:pPr>
        <w:numPr>
          <w:ilvl w:val="0"/>
          <w:numId w:val="1000"/>
        </w:numPr>
        <w:pStyle w:val="ImageCaption"/>
      </w:pPr>
      <w:r>
        <w:t xml:space="preserve">Рис. 6: Успешный ping между коммутаторами</w:t>
      </w:r>
    </w:p>
    <w:p>
      <w:pPr>
        <w:numPr>
          <w:ilvl w:val="0"/>
          <w:numId w:val="1001"/>
        </w:numPr>
      </w:pPr>
      <w:r>
        <w:t xml:space="preserve">В настройках программы (Options → Preferences → Interface) была активирована опция учёта физических характеристик среды передачи (Enable Cable Length Effects).</w:t>
      </w:r>
    </w:p>
    <w:p>
      <w:pPr>
        <w:numPr>
          <w:ilvl w:val="0"/>
          <w:numId w:val="1000"/>
        </w:numPr>
      </w:pPr>
      <w:r>
        <w:t xml:space="preserve">После этого в физической рабочей области здания были разнесены на расстояние более 100 метров (около 600–1000 м).</w:t>
      </w:r>
    </w:p>
    <w:p>
      <w:pPr>
        <w:numPr>
          <w:ilvl w:val="0"/>
          <w:numId w:val="1000"/>
        </w:numPr>
        <w:pStyle w:val="CaptionedFigure"/>
      </w:pPr>
      <w:bookmarkStart w:id="49" w:name="fig:013"/>
      <w:r>
        <w:drawing>
          <wp:inline>
            <wp:extent cx="5334000" cy="1375610"/>
            <wp:effectExtent b="0" l="0" r="0" t="0"/>
            <wp:docPr descr="Рис. 7: Длина кабеля между зданиями" title="" id="47" name="Picture"/>
            <a:graphic>
              <a:graphicData uri="http://schemas.openxmlformats.org/drawingml/2006/picture">
                <pic:pic>
                  <pic:nvPicPr>
                    <pic:cNvPr descr="07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5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9"/>
    </w:p>
    <w:p>
      <w:pPr>
        <w:numPr>
          <w:ilvl w:val="0"/>
          <w:numId w:val="1000"/>
        </w:numPr>
        <w:pStyle w:val="ImageCaption"/>
      </w:pPr>
      <w:r>
        <w:t xml:space="preserve">Рис. 7: Длина кабеля между зданиями</w:t>
      </w:r>
    </w:p>
    <w:p>
      <w:pPr>
        <w:numPr>
          <w:ilvl w:val="0"/>
          <w:numId w:val="1001"/>
        </w:numPr>
      </w:pPr>
      <w:r>
        <w:t xml:space="preserve">После увеличения расстояния между зданиями соединение стало неработоспособным. При повторной проверке командой ping наблюдается потеря пакетов (0% успешных ответов).</w:t>
      </w:r>
    </w:p>
    <w:p>
      <w:pPr>
        <w:numPr>
          <w:ilvl w:val="0"/>
          <w:numId w:val="1000"/>
        </w:numPr>
        <w:pStyle w:val="CaptionedFigure"/>
      </w:pPr>
      <w:bookmarkStart w:id="53" w:name="fig:014"/>
      <w:r>
        <w:drawing>
          <wp:inline>
            <wp:extent cx="4994621" cy="1874904"/>
            <wp:effectExtent b="0" l="0" r="0" t="0"/>
            <wp:docPr descr="Рис. 8: Неуспешный ping" title="" id="51" name="Picture"/>
            <a:graphic>
              <a:graphicData uri="http://schemas.openxmlformats.org/drawingml/2006/picture">
                <pic:pic>
                  <pic:nvPicPr>
                    <pic:cNvPr descr="0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4621" cy="1874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3"/>
    </w:p>
    <w:p>
      <w:pPr>
        <w:numPr>
          <w:ilvl w:val="0"/>
          <w:numId w:val="1000"/>
        </w:numPr>
        <w:pStyle w:val="ImageCaption"/>
      </w:pPr>
      <w:r>
        <w:t xml:space="preserve">Рис. 8: Неуспешный ping</w:t>
      </w:r>
    </w:p>
    <w:p>
      <w:pPr>
        <w:numPr>
          <w:ilvl w:val="0"/>
          <w:numId w:val="1001"/>
        </w:numPr>
      </w:pPr>
      <w:r>
        <w:t xml:space="preserve">Для устранения проблемы соединение между коммутаторами было удалено. В логическую рабочую область добавлены два повторителя:</w:t>
      </w:r>
      <w:r>
        <w:t xml:space="preserve"> </w:t>
      </w:r>
      <w:r>
        <w:t xml:space="preserve">– msk-donskaya-mc-1;</w:t>
      </w:r>
      <w:r>
        <w:br/>
      </w:r>
      <w:r>
        <w:t xml:space="preserve">– msk-pavlovskaya-mc-1.</w:t>
      </w:r>
    </w:p>
    <w:p>
      <w:pPr>
        <w:numPr>
          <w:ilvl w:val="0"/>
          <w:numId w:val="1000"/>
        </w:numPr>
      </w:pPr>
      <w:r>
        <w:t xml:space="preserve">В устройства установлены модули:</w:t>
      </w:r>
      <w:r>
        <w:t xml:space="preserve"> </w:t>
      </w:r>
      <w:r>
        <w:t xml:space="preserve">– PT-REPEATERNM-1FFE (для оптоволокна);</w:t>
      </w:r>
      <w:r>
        <w:br/>
      </w:r>
      <w:r>
        <w:t xml:space="preserve">– PT-REPEATER-NM-1CFE (для витой пары Fast Ethernet).</w:t>
      </w:r>
    </w:p>
    <w:p>
      <w:pPr>
        <w:numPr>
          <w:ilvl w:val="0"/>
          <w:numId w:val="1001"/>
        </w:numPr>
      </w:pPr>
      <w:r>
        <w:t xml:space="preserve">Повторитель msk-pavlovskaya-mc-1 был перемещён на территорию Pavlovskaya в физической рабочей области.</w:t>
      </w:r>
    </w:p>
    <w:p>
      <w:pPr>
        <w:numPr>
          <w:ilvl w:val="0"/>
          <w:numId w:val="1001"/>
        </w:numPr>
      </w:pPr>
      <w:r>
        <w:t xml:space="preserve">Выполнено подключение устройств:</w:t>
      </w:r>
      <w:r>
        <w:t xml:space="preserve"> </w:t>
      </w:r>
      <w:r>
        <w:t xml:space="preserve">– msk-donskaya-sw-1 → msk-donskaya-mc-1 — витая пара;</w:t>
      </w:r>
      <w:r>
        <w:br/>
      </w:r>
      <w:r>
        <w:t xml:space="preserve">– msk-donskaya-mc-1 → msk-pavlovskaya-mc-1 — оптоволокно;</w:t>
      </w:r>
      <w:r>
        <w:br/>
      </w:r>
      <w:r>
        <w:t xml:space="preserve">– msk-pavlovskaya-sw-1 → msk-pavlovskaya-mc-1 — витая пара.</w:t>
      </w:r>
    </w:p>
    <w:p>
      <w:pPr>
        <w:pStyle w:val="FirstParagraph"/>
      </w:pPr>
      <w:r>
        <w:t xml:space="preserve">В результате была сформирована корректная топология сети с использованием повторителей.</w:t>
      </w:r>
    </w:p>
    <w:p>
      <w:pPr>
        <w:pStyle w:val="CaptionedFigure"/>
      </w:pPr>
      <w:bookmarkStart w:id="57" w:name="fig:015"/>
      <w:r>
        <w:drawing>
          <wp:inline>
            <wp:extent cx="5334000" cy="3331664"/>
            <wp:effectExtent b="0" l="0" r="0" t="0"/>
            <wp:docPr descr="Рис. 9: Итоговая схема сети с повторителями" title="" id="55" name="Picture"/>
            <a:graphic>
              <a:graphicData uri="http://schemas.openxmlformats.org/drawingml/2006/picture">
                <pic:pic>
                  <pic:nvPicPr>
                    <pic:cNvPr descr="0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1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7"/>
    </w:p>
    <w:p>
      <w:pPr>
        <w:pStyle w:val="ImageCaption"/>
      </w:pPr>
      <w:r>
        <w:t xml:space="preserve">Рис. 9: Итоговая схема сети с повторителями</w:t>
      </w:r>
    </w:p>
    <w:p>
      <w:pPr>
        <w:numPr>
          <w:ilvl w:val="0"/>
          <w:numId w:val="1002"/>
        </w:numPr>
        <w:pStyle w:val="Compact"/>
      </w:pPr>
      <w:r>
        <w:t xml:space="preserve">После выполнения всех подключений повторно была проверена связность сети. Команда ping показала успешную передачу пакетов (100% успешных ответов), что подтверждает восстановление соединения между коммутаторами.</w:t>
      </w:r>
    </w:p>
    <w:p>
      <w:pPr>
        <w:pStyle w:val="CaptionedFigure"/>
      </w:pPr>
      <w:bookmarkStart w:id="61" w:name="fig:016"/>
      <w:r>
        <w:drawing>
          <wp:inline>
            <wp:extent cx="5033042" cy="2666359"/>
            <wp:effectExtent b="0" l="0" r="0" t="0"/>
            <wp:docPr descr="Рис. 10: Восстановление соединения" title="" id="59" name="Picture"/>
            <a:graphic>
              <a:graphicData uri="http://schemas.openxmlformats.org/drawingml/2006/picture">
                <pic:pic>
                  <pic:nvPicPr>
                    <pic:cNvPr descr="1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3042" cy="2666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1"/>
    </w:p>
    <w:p>
      <w:pPr>
        <w:pStyle w:val="ImageCaption"/>
      </w:pPr>
      <w:r>
        <w:t xml:space="preserve">Рис. 10: Восстановление соединения</w:t>
      </w:r>
    </w:p>
    <w:bookmarkEnd w:id="62"/>
    <w:bookmarkStart w:id="63" w:name="вывод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</w:t>
      </w:r>
    </w:p>
    <w:p>
      <w:pPr>
        <w:pStyle w:val="FirstParagraph"/>
      </w:pPr>
      <w:r>
        <w:t xml:space="preserve">В ходе лабораторной работы были изучены принципы построения сети с учётом физических характеристик среды передачи данных в среде Cisco Packet Tracer. Выполнено моделирование распределённой сети с несколькими территориально разнесёнными объектами, а также исследовано влияние длины кабеля на работоспособность соединения.</w:t>
      </w:r>
    </w:p>
    <w:p>
      <w:pPr>
        <w:pStyle w:val="BodyText"/>
      </w:pPr>
      <w:r>
        <w:t xml:space="preserve">Было установлено, что при превышении допустимой длины линии связи передача данных становится невозможной. Для решения данной проблемы были применены повторители и оптоволоконная линия связи, что позволило восстановить корректную работу сети и обеспечить стабильную передачу данных между удалёнными сегментами.</w:t>
      </w:r>
    </w:p>
    <w:bookmarkEnd w:id="63"/>
    <w:bookmarkStart w:id="64" w:name="контрольные-вопрос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Контрольные вопросы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Перечислите возможные среды передачи данных. На какие характеристики среды передачи данных следует обращать внимание при планировании сети?</w:t>
      </w:r>
    </w:p>
    <w:p>
      <w:pPr>
        <w:numPr>
          <w:ilvl w:val="0"/>
          <w:numId w:val="1000"/>
        </w:numPr>
      </w:pPr>
      <w:r>
        <w:t xml:space="preserve">К основным средам передачи данных относятся:</w:t>
      </w:r>
      <w:r>
        <w:br/>
      </w:r>
      <w:r>
        <w:t xml:space="preserve">– витая пара (медный кабель);</w:t>
      </w:r>
      <w:r>
        <w:br/>
      </w:r>
      <w:r>
        <w:t xml:space="preserve">– коаксиальный кабель;</w:t>
      </w:r>
      <w:r>
        <w:br/>
      </w:r>
      <w:r>
        <w:t xml:space="preserve">– оптоволоконный кабель;</w:t>
      </w:r>
      <w:r>
        <w:br/>
      </w:r>
      <w:r>
        <w:t xml:space="preserve">– беспроводные среды (радиоканал, Wi-Fi, инфракрасная связь).</w:t>
      </w:r>
    </w:p>
    <w:p>
      <w:pPr>
        <w:numPr>
          <w:ilvl w:val="0"/>
          <w:numId w:val="1000"/>
        </w:numPr>
      </w:pPr>
      <w:r>
        <w:t xml:space="preserve">При планировании сети необходимо учитывать следующие характеристики:</w:t>
      </w:r>
      <w:r>
        <w:br/>
      </w:r>
      <w:r>
        <w:t xml:space="preserve">– пропускная способность (скорость передачи данных);</w:t>
      </w:r>
      <w:r>
        <w:br/>
      </w:r>
      <w:r>
        <w:t xml:space="preserve">– максимальная длина сегмента без усиления сигнала;</w:t>
      </w:r>
      <w:r>
        <w:br/>
      </w:r>
      <w:r>
        <w:t xml:space="preserve">– уровень затухания сигнала;</w:t>
      </w:r>
      <w:r>
        <w:br/>
      </w:r>
      <w:r>
        <w:t xml:space="preserve">– устойчивость к электромагнитным помехам;</w:t>
      </w:r>
      <w:r>
        <w:br/>
      </w:r>
      <w:r>
        <w:t xml:space="preserve">– стоимость и сложность монтажа;</w:t>
      </w:r>
      <w:r>
        <w:br/>
      </w:r>
      <w:r>
        <w:t xml:space="preserve">– надёжность и долговечность;</w:t>
      </w:r>
      <w:r>
        <w:br/>
      </w:r>
      <w:r>
        <w:t xml:space="preserve">– требования к оборудованию и условиям эксплуатации.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Перечислите категории витой пары. Чем они отличаются? Какая категория в каких условиях может применяться?</w:t>
      </w:r>
    </w:p>
    <w:p>
      <w:pPr>
        <w:numPr>
          <w:ilvl w:val="0"/>
          <w:numId w:val="1000"/>
        </w:numPr>
      </w:pPr>
      <w:r>
        <w:t xml:space="preserve">Основные категории витой пары:</w:t>
      </w:r>
      <w:r>
        <w:br/>
      </w:r>
      <w:r>
        <w:t xml:space="preserve">– Cat5 — до 100 Мбит/с;</w:t>
      </w:r>
      <w:r>
        <w:br/>
      </w:r>
      <w:r>
        <w:t xml:space="preserve">– Cat5e — до 1 Гбит/с;</w:t>
      </w:r>
      <w:r>
        <w:br/>
      </w:r>
      <w:r>
        <w:t xml:space="preserve">– Cat6 — до 1–10 Гбит/с (на коротких расстояниях);</w:t>
      </w:r>
      <w:r>
        <w:br/>
      </w:r>
      <w:r>
        <w:t xml:space="preserve">– Cat6a — до 10 Гбит/с;</w:t>
      </w:r>
      <w:r>
        <w:br/>
      </w:r>
      <w:r>
        <w:t xml:space="preserve">– Cat7 — до 10 Гбит/с с улучшенной экранизацией;</w:t>
      </w:r>
      <w:r>
        <w:br/>
      </w:r>
      <w:r>
        <w:t xml:space="preserve">– Cat8 — до 25–40 Гбит/с (на небольших расстояниях).</w:t>
      </w:r>
    </w:p>
    <w:p>
      <w:pPr>
        <w:numPr>
          <w:ilvl w:val="0"/>
          <w:numId w:val="1000"/>
        </w:numPr>
      </w:pPr>
      <w:r>
        <w:t xml:space="preserve">Отличия заключаются в:</w:t>
      </w:r>
      <w:r>
        <w:br/>
      </w:r>
      <w:r>
        <w:t xml:space="preserve">– поддерживаемой скорости передачи данных;</w:t>
      </w:r>
      <w:r>
        <w:br/>
      </w:r>
      <w:r>
        <w:t xml:space="preserve">– рабочей частоте;</w:t>
      </w:r>
      <w:r>
        <w:br/>
      </w:r>
      <w:r>
        <w:t xml:space="preserve">– уровне экранирования;</w:t>
      </w:r>
      <w:r>
        <w:br/>
      </w:r>
      <w:r>
        <w:t xml:space="preserve">– допустимой длине линии.</w:t>
      </w:r>
    </w:p>
    <w:p>
      <w:pPr>
        <w:numPr>
          <w:ilvl w:val="0"/>
          <w:numId w:val="1000"/>
        </w:numPr>
      </w:pPr>
      <w:r>
        <w:t xml:space="preserve">Применение:</w:t>
      </w:r>
      <w:r>
        <w:br/>
      </w:r>
      <w:r>
        <w:t xml:space="preserve">– Cat5/Cat5e — небольшие офисные и домашние сети;</w:t>
      </w:r>
      <w:r>
        <w:br/>
      </w:r>
      <w:r>
        <w:t xml:space="preserve">– Cat6/Cat6a — современные корпоративные сети;</w:t>
      </w:r>
      <w:r>
        <w:br/>
      </w:r>
      <w:r>
        <w:t xml:space="preserve">– Cat7/Cat8 — центры обработки данных и высоконагруженные сети.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В чем отличие одномодового и многомодового оптоволокна? Какой тип кабеля в каких условиях может применяться?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Одномодовое оптоволокно (Single Mode)</w:t>
      </w:r>
      <w:r>
        <w:t xml:space="preserve"> </w:t>
      </w:r>
      <w:r>
        <w:t xml:space="preserve">— передаёт свет по одному лучу (моду), имеет малый диаметр сердцевины и обеспечивает передачу на большие расстояния (десятки и сотни километров) с минимальными потерями.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Многомодовое оптоволокно (Multi Mode)</w:t>
      </w:r>
      <w:r>
        <w:t xml:space="preserve"> </w:t>
      </w:r>
      <w:r>
        <w:t xml:space="preserve">— передаёт несколько световых лучей одновременно, имеет больший диаметр сердцевины, но используется на меньших расстояниях (до нескольких сотен метров) из-за большего затухания и дисперсии.</w:t>
      </w:r>
    </w:p>
    <w:p>
      <w:pPr>
        <w:numPr>
          <w:ilvl w:val="0"/>
          <w:numId w:val="1000"/>
        </w:numPr>
      </w:pPr>
      <w:r>
        <w:t xml:space="preserve">Применение:</w:t>
      </w:r>
      <w:r>
        <w:br/>
      </w:r>
      <w:r>
        <w:t xml:space="preserve">– одномодовое — магистральные линии связи, соединение зданий, провайдерские сети;</w:t>
      </w:r>
      <w:r>
        <w:br/>
      </w:r>
      <w:r>
        <w:t xml:space="preserve">– многомодовое — внутри зданий, дата-центры, короткие соединения.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Какие разъёмы встречаются на патчах оптоволокна? Чем они отличаются?</w:t>
      </w:r>
    </w:p>
    <w:p>
      <w:pPr>
        <w:numPr>
          <w:ilvl w:val="0"/>
          <w:numId w:val="1000"/>
        </w:numPr>
      </w:pPr>
      <w:r>
        <w:t xml:space="preserve">Наиболее распространённые типы разъёмов:</w:t>
      </w:r>
      <w:r>
        <w:br/>
      </w:r>
      <w:r>
        <w:t xml:space="preserve">–</w:t>
      </w:r>
      <w:r>
        <w:t xml:space="preserve"> </w:t>
      </w:r>
      <w:r>
        <w:rPr>
          <w:bCs/>
          <w:b/>
        </w:rPr>
        <w:t xml:space="preserve">SC</w:t>
      </w:r>
      <w:r>
        <w:t xml:space="preserve"> </w:t>
      </w:r>
      <w:r>
        <w:t xml:space="preserve">— прямоугольный разъём с защёлкой, удобен для использования в оборудовании;</w:t>
      </w:r>
      <w:r>
        <w:br/>
      </w:r>
      <w:r>
        <w:t xml:space="preserve">–</w:t>
      </w:r>
      <w:r>
        <w:t xml:space="preserve"> </w:t>
      </w:r>
      <w:r>
        <w:rPr>
          <w:bCs/>
          <w:b/>
        </w:rPr>
        <w:t xml:space="preserve">LC</w:t>
      </w:r>
      <w:r>
        <w:t xml:space="preserve"> </w:t>
      </w:r>
      <w:r>
        <w:t xml:space="preserve">— компактный разъём малого размера, часто используется в современных устройствах;</w:t>
      </w:r>
      <w:r>
        <w:br/>
      </w:r>
      <w:r>
        <w:t xml:space="preserve">–</w:t>
      </w:r>
      <w:r>
        <w:t xml:space="preserve"> </w:t>
      </w:r>
      <w:r>
        <w:rPr>
          <w:bCs/>
          <w:b/>
        </w:rPr>
        <w:t xml:space="preserve">ST</w:t>
      </w:r>
      <w:r>
        <w:t xml:space="preserve"> </w:t>
      </w:r>
      <w:r>
        <w:t xml:space="preserve">— круглый разъём с байонетным креплением, применялся ранее;</w:t>
      </w:r>
      <w:r>
        <w:br/>
      </w:r>
      <w:r>
        <w:t xml:space="preserve">–</w:t>
      </w:r>
      <w:r>
        <w:t xml:space="preserve"> </w:t>
      </w:r>
      <w:r>
        <w:rPr>
          <w:bCs/>
          <w:b/>
        </w:rPr>
        <w:t xml:space="preserve">FC</w:t>
      </w:r>
      <w:r>
        <w:t xml:space="preserve"> </w:t>
      </w:r>
      <w:r>
        <w:t xml:space="preserve">— разъём с резьбовым соединением, обеспечивает надёжную фиксацию.</w:t>
      </w:r>
    </w:p>
    <w:p>
      <w:pPr>
        <w:numPr>
          <w:ilvl w:val="0"/>
          <w:numId w:val="1000"/>
        </w:numPr>
      </w:pPr>
      <w:r>
        <w:t xml:space="preserve">Отличия заключаются в:</w:t>
      </w:r>
      <w:r>
        <w:br/>
      </w:r>
      <w:r>
        <w:t xml:space="preserve">– типе фиксации (защёлка, резьба, байонет);</w:t>
      </w:r>
      <w:r>
        <w:br/>
      </w:r>
      <w:r>
        <w:t xml:space="preserve">– размере и плотности размещения портов;</w:t>
      </w:r>
      <w:r>
        <w:br/>
      </w:r>
      <w:r>
        <w:t xml:space="preserve">– области применения и совместимости с оборудованием.</w:t>
      </w:r>
    </w:p>
    <w:bookmarkEnd w:id="64"/>
    <w:bookmarkStart w:id="65" w:name="список-литературы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Список литературы</w:t>
      </w:r>
    </w:p>
    <w:p>
      <w:pPr>
        <w:numPr>
          <w:ilvl w:val="0"/>
          <w:numId w:val="1004"/>
        </w:numPr>
      </w:pPr>
      <w:r>
        <w:t xml:space="preserve">802.1D-2004 - IEEE Standard for Local and Metropolitan Area Networks. Media Access Control (MAC) Bridges : тех. отч. / IEEE. — 2004. — С. 1— 277. — DOI: 10.1109/IEEESTD.2004.94569. — URL: http://ieeexplore.ieee.org/servlet/opac?punumber=9155.</w:t>
      </w:r>
    </w:p>
    <w:p>
      <w:pPr>
        <w:numPr>
          <w:ilvl w:val="0"/>
          <w:numId w:val="1004"/>
        </w:numPr>
      </w:pPr>
      <w:r>
        <w:t xml:space="preserve">802.1Q - Virtual LANs. — URL: http://www.ieee802.org/1/pages/802.1Q.html.</w:t>
      </w:r>
    </w:p>
    <w:p>
      <w:pPr>
        <w:numPr>
          <w:ilvl w:val="0"/>
          <w:numId w:val="1004"/>
        </w:numPr>
      </w:pPr>
      <w:r>
        <w:t xml:space="preserve">A J. Packet Tracer Network Simulator. — Packt Publishing, 2014. — ISBN 9781782170426. — URL: https://books.google.com/books?id=eVOcAgAAQBAJ&amp;dq=cisco+packet+tracer&amp;hl=es&amp;source=gbs_navlinks_s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7</dc:title>
  <dc:creator>Суннатилло Махмудов</dc:creator>
  <dc:language>ru-RU</dc:language>
  <cp:keywords/>
  <dcterms:created xsi:type="dcterms:W3CDTF">2026-03-21T08:05:33Z</dcterms:created>
  <dcterms:modified xsi:type="dcterms:W3CDTF">2026-03-21T08:05:33Z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ngTemplate">
    <vt:lpwstr>listingTitle ititleDelim t</vt:lpwstr>
  </property>
  <property fmtid="{D5CDD505-2E9C-101B-9397-08002B2CF9AE}" pid="41" name="listingTitle">
    <vt:lpwstr>Листинг</vt:lpwstr>
  </property>
  <property fmtid="{D5CDD505-2E9C-101B-9397-08002B2CF9AE}" pid="42" name="listings">
    <vt:lpwstr>False</vt:lpwstr>
  </property>
  <property fmtid="{D5CDD505-2E9C-101B-9397-08002B2CF9AE}" pid="43" name="lof">
    <vt:lpwstr>True</vt:lpwstr>
  </property>
  <property fmtid="{D5CDD505-2E9C-101B-9397-08002B2CF9AE}" pid="44" name="lofTitle">
    <vt:lpwstr>Список иллюстраций</vt:lpwstr>
  </property>
  <property fmtid="{D5CDD505-2E9C-101B-9397-08002B2CF9AE}" pid="45" name="lolTitle">
    <vt:lpwstr>Листинги</vt:lpwstr>
  </property>
  <property fmtid="{D5CDD505-2E9C-101B-9397-08002B2CF9AE}" pid="46" name="lot">
    <vt:lpwstr>True</vt:lpwstr>
  </property>
  <property fmtid="{D5CDD505-2E9C-101B-9397-08002B2CF9AE}" pid="47" name="lotTitle">
    <vt:lpwstr>Список таблиц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IBM Plex Serif</vt:lpwstr>
  </property>
  <property fmtid="{D5CDD505-2E9C-101B-9397-08002B2CF9AE}" pid="52" name="mainfontoptions">
    <vt:lpwstr>Ligatures=Common,Ligatures=TeX,Scale=0.94</vt:lpwstr>
  </property>
  <property fmtid="{D5CDD505-2E9C-101B-9397-08002B2CF9AE}" pid="53" name="mathfont">
    <vt:lpwstr>STIX Two Math</vt:lpwstr>
  </property>
  <property fmtid="{D5CDD505-2E9C-101B-9397-08002B2CF9AE}" pid="54" name="mathfontoptions">
    <vt:lpwstr/>
  </property>
  <property fmtid="{D5CDD505-2E9C-101B-9397-08002B2CF9AE}" pid="55" name="monofont">
    <vt:lpwstr>IBM Plex Mono</vt:lpwstr>
  </property>
  <property fmtid="{D5CDD505-2E9C-101B-9397-08002B2CF9AE}" pid="56" name="monofontoptions">
    <vt:lpwstr>Scale=MatchLowercase,Scale=0.94,FakeStretch=0.9</vt:lpwstr>
  </property>
  <property fmtid="{D5CDD505-2E9C-101B-9397-08002B2CF9AE}" pid="57" name="nameInLink">
    <vt:lpwstr>False</vt:lpwstr>
  </property>
  <property fmtid="{D5CDD505-2E9C-101B-9397-08002B2CF9AE}" pid="58" name="numberSections">
    <vt:lpwstr>False</vt:lpwstr>
  </property>
  <property fmtid="{D5CDD505-2E9C-101B-9397-08002B2CF9AE}" pid="59" name="pairDelim">
    <vt:lpwstr>, </vt:lpwstr>
  </property>
  <property fmtid="{D5CDD505-2E9C-101B-9397-08002B2CF9AE}" pid="60" name="papersize">
    <vt:lpwstr>a</vt:lpwstr>
  </property>
  <property fmtid="{D5CDD505-2E9C-101B-9397-08002B2CF9AE}" pid="61" name="polyglossia-lang">
    <vt:lpwstr/>
  </property>
  <property fmtid="{D5CDD505-2E9C-101B-9397-08002B2CF9AE}" pid="62" name="polyglossia-otherlangs">
    <vt:lpwstr/>
  </property>
  <property fmtid="{D5CDD505-2E9C-101B-9397-08002B2CF9AE}" pid="63" name="rangeDelim">
    <vt:lpwstr>-</vt:lpwstr>
  </property>
  <property fmtid="{D5CDD505-2E9C-101B-9397-08002B2CF9AE}" pid="64" name="refDelim">
    <vt:lpwstr>, </vt:lpwstr>
  </property>
  <property fmtid="{D5CDD505-2E9C-101B-9397-08002B2CF9AE}" pid="65" name="refIndexTemplate">
    <vt:lpwstr>isuf</vt:lpwstr>
  </property>
  <property fmtid="{D5CDD505-2E9C-101B-9397-08002B2CF9AE}" pid="66" name="romanfont">
    <vt:lpwstr>IBM Plex Serif</vt:lpwstr>
  </property>
  <property fmtid="{D5CDD505-2E9C-101B-9397-08002B2CF9AE}" pid="67" name="romanfontoptions">
    <vt:lpwstr>Ligatures=Common,Ligatures=TeX,Scale=0.94</vt:lpwstr>
  </property>
  <property fmtid="{D5CDD505-2E9C-101B-9397-08002B2CF9AE}" pid="68" name="sansfont">
    <vt:lpwstr>IBM Plex Sans</vt:lpwstr>
  </property>
  <property fmtid="{D5CDD505-2E9C-101B-9397-08002B2CF9AE}" pid="69" name="sansfontoptions">
    <vt:lpwstr>Ligatures=Common,Ligatures=TeX,Scale=MatchLowercase,Scale=0.94</vt:lpwstr>
  </property>
  <property fmtid="{D5CDD505-2E9C-101B-9397-08002B2CF9AE}" pid="70" name="secHeaderDelim">
    <vt:lpwstr> </vt:lpwstr>
  </property>
  <property fmtid="{D5CDD505-2E9C-101B-9397-08002B2CF9AE}" pid="71" name="secHeaderTemplate">
    <vt:lpwstr>isecHeaderDelim[n]t</vt:lpwstr>
  </property>
  <property fmtid="{D5CDD505-2E9C-101B-9397-08002B2CF9AE}" pid="72" name="secLabels">
    <vt:lpwstr>arabic</vt:lpwstr>
  </property>
  <property fmtid="{D5CDD505-2E9C-101B-9397-08002B2CF9AE}" pid="73" name="secPrefix">
    <vt:lpwstr/>
  </property>
  <property fmtid="{D5CDD505-2E9C-101B-9397-08002B2CF9AE}" pid="74" name="secPrefixTemplate">
    <vt:lpwstr>p i</vt:lpwstr>
  </property>
  <property fmtid="{D5CDD505-2E9C-101B-9397-08002B2CF9AE}" pid="75" name="sectionsDepth">
    <vt:lpwstr>0</vt:lpwstr>
  </property>
  <property fmtid="{D5CDD505-2E9C-101B-9397-08002B2CF9AE}" pid="76" name="subfigGrid">
    <vt:lpwstr>False</vt:lpwstr>
  </property>
  <property fmtid="{D5CDD505-2E9C-101B-9397-08002B2CF9AE}" pid="77" name="subfigLabels">
    <vt:lpwstr>alpha a</vt:lpwstr>
  </property>
  <property fmtid="{D5CDD505-2E9C-101B-9397-08002B2CF9AE}" pid="78" name="subfigureChildTemplate">
    <vt:lpwstr>i</vt:lpwstr>
  </property>
  <property fmtid="{D5CDD505-2E9C-101B-9397-08002B2CF9AE}" pid="79" name="subfigureRefIndexTemplate">
    <vt:lpwstr>isuf (s)</vt:lpwstr>
  </property>
  <property fmtid="{D5CDD505-2E9C-101B-9397-08002B2CF9AE}" pid="80" name="subfigureTemplate">
    <vt:lpwstr>figureTitle ititleDelim t. ccs</vt:lpwstr>
  </property>
  <property fmtid="{D5CDD505-2E9C-101B-9397-08002B2CF9AE}" pid="81" name="subtitle">
    <vt:lpwstr>Учёт физических параметров сети</vt:lpwstr>
  </property>
  <property fmtid="{D5CDD505-2E9C-101B-9397-08002B2CF9AE}" pid="82" name="tableEqns">
    <vt:lpwstr>False</vt:lpwstr>
  </property>
  <property fmtid="{D5CDD505-2E9C-101B-9397-08002B2CF9AE}" pid="83" name="tableTemplate">
    <vt:lpwstr>tableTitle ititleDelim t</vt:lpwstr>
  </property>
  <property fmtid="{D5CDD505-2E9C-101B-9397-08002B2CF9AE}" pid="84" name="tableTitle">
    <vt:lpwstr>Таблица</vt:lpwstr>
  </property>
  <property fmtid="{D5CDD505-2E9C-101B-9397-08002B2CF9AE}" pid="85" name="tblLabels">
    <vt:lpwstr>arabic</vt:lpwstr>
  </property>
  <property fmtid="{D5CDD505-2E9C-101B-9397-08002B2CF9AE}" pid="86" name="tblPrefix">
    <vt:lpwstr/>
  </property>
  <property fmtid="{D5CDD505-2E9C-101B-9397-08002B2CF9AE}" pid="87" name="tblPrefixTemplate">
    <vt:lpwstr>p i</vt:lpwstr>
  </property>
  <property fmtid="{D5CDD505-2E9C-101B-9397-08002B2CF9AE}" pid="88" name="titleDelim">
    <vt:lpwstr>:</vt:lpwstr>
  </property>
  <property fmtid="{D5CDD505-2E9C-101B-9397-08002B2CF9AE}" pid="89" name="toc">
    <vt:lpwstr>True</vt:lpwstr>
  </property>
  <property fmtid="{D5CDD505-2E9C-101B-9397-08002B2CF9AE}" pid="90" name="toc-depth">
    <vt:lpwstr>2</vt:lpwstr>
  </property>
  <property fmtid="{D5CDD505-2E9C-101B-9397-08002B2CF9AE}" pid="91" name="toc-title">
    <vt:lpwstr>Содержание</vt:lpwstr>
  </property>
</Properties>
</file>