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26.png" ContentType="image/png"/>
  <Override PartName="/word/media/rId22.png" ContentType="image/png"/>
  <Override PartName="/word/media/rId40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56.png" ContentType="image/png"/>
  <Override PartName="/word/media/rId44.png" ContentType="image/png"/>
  <Override PartName="/word/media/rId48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Методы</w:t>
      </w:r>
      <w:r>
        <w:t xml:space="preserve"> </w:t>
      </w:r>
      <w:r>
        <w:t xml:space="preserve">кодирования</w:t>
      </w:r>
      <w:r>
        <w:t xml:space="preserve"> </w:t>
      </w:r>
      <w:r>
        <w:t xml:space="preserve">и</w:t>
      </w:r>
      <w:r>
        <w:t xml:space="preserve"> </w:t>
      </w:r>
      <w:r>
        <w:t xml:space="preserve">модуляция</w:t>
      </w:r>
      <w:r>
        <w:t xml:space="preserve"> </w:t>
      </w:r>
      <w:r>
        <w:t xml:space="preserve">сигналов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методов кодирования и модуляции сигналов с помощью языка Octave. Определение спектра и параметров сигнала. Демонстрация амплитудной модуляции и исследование свойства самосинхронизации.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Сигналы и спектры.</w:t>
      </w:r>
      <w:r>
        <w:t xml:space="preserve"> </w:t>
      </w:r>
      <w:r>
        <w:t xml:space="preserve">Сигнал можно представить как комбинацию гармоник. Для анализа используется преобразование Фурье.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Модуляция.</w:t>
      </w:r>
      <w:r>
        <w:t xml:space="preserve"> </w:t>
      </w:r>
      <w:r>
        <w:t xml:space="preserve">Изменение амплитуды, частоты или фазы несущей по закону информационного сигнала. В работе рассматривается амплитудная модуляция.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Кодирование сигнала.</w:t>
      </w:r>
      <w:r>
        <w:t xml:space="preserve"> </w:t>
      </w:r>
      <w:r>
        <w:t xml:space="preserve">Способы отображения битов на электрические импульсы (NRZ, RZ, AMI, Манчестер и др.). Некоторые коды обладают свойством самосинхронизации.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остроение-графиков-в-octa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Построение графиков в Octave</w:t>
      </w:r>
    </w:p>
    <w:p>
      <w:pPr>
        <w:numPr>
          <w:ilvl w:val="0"/>
          <w:numId w:val="1002"/>
        </w:numPr>
        <w:pStyle w:val="Compact"/>
      </w:pPr>
      <w:r>
        <w:t xml:space="preserve">Реализован сценарий</w:t>
      </w:r>
      <w:r>
        <w:t xml:space="preserve"> </w:t>
      </w:r>
      <w:r>
        <w:rPr>
          <w:rStyle w:val="VerbatimChar"/>
        </w:rPr>
        <w:t xml:space="preserve">plot_sin.m</w:t>
      </w:r>
      <w:r>
        <w:t xml:space="preserve"> </w:t>
      </w:r>
      <w:r>
        <w:t xml:space="preserve">для построения функции: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sin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sin</m:t>
          </m:r>
          <m:r>
            <m:t>5</m:t>
          </m:r>
          <m:r>
            <m:t>x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Добавлен второй график для функции: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cos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cos</m:t>
          </m:r>
          <m:r>
            <m:t>5</m:t>
          </m:r>
          <m:r>
            <m:t>x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Экспорт графиков в PNG/EPS.</w:t>
      </w:r>
    </w:p>
    <w:p>
      <w:pPr>
        <w:pStyle w:val="CaptionedFigure"/>
      </w:pPr>
      <w:bookmarkStart w:id="25" w:name="fig:001"/>
      <w:r>
        <w:drawing>
          <wp:inline>
            <wp:extent cx="5334000" cy="4001795"/>
            <wp:effectExtent b="0" l="0" r="0" t="0"/>
            <wp:docPr descr="Рис. 1: График функции синуса" title="" id="23" name="Picture"/>
            <a:graphic>
              <a:graphicData uri="http://schemas.openxmlformats.org/drawingml/2006/picture">
                <pic:pic>
                  <pic:nvPicPr>
                    <pic:cNvPr descr="files/plot-si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График функции синуса</w:t>
      </w:r>
    </w:p>
    <w:p>
      <w:pPr>
        <w:pStyle w:val="CaptionedFigure"/>
      </w:pPr>
      <w:bookmarkStart w:id="29" w:name="fig:002"/>
      <w:r>
        <w:drawing>
          <wp:inline>
            <wp:extent cx="5334000" cy="4001795"/>
            <wp:effectExtent b="0" l="0" r="0" t="0"/>
            <wp:docPr descr="Рис. 2: Графики синуса и косинуса" title="" id="27" name="Picture"/>
            <a:graphic>
              <a:graphicData uri="http://schemas.openxmlformats.org/drawingml/2006/picture">
                <pic:pic>
                  <pic:nvPicPr>
                    <pic:cNvPr descr="files/plot-sin-c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Графики синуса и косинуса</w:t>
      </w:r>
    </w:p>
    <w:bookmarkEnd w:id="30"/>
    <w:bookmarkStart w:id="39" w:name="Xd0c1ffb61d6f6c61796b881d5efccd97886af6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Разложение импульсного сигнала в ряд Фурье</w:t>
      </w:r>
    </w:p>
    <w:p>
      <w:pPr>
        <w:numPr>
          <w:ilvl w:val="0"/>
          <w:numId w:val="1005"/>
        </w:numPr>
        <w:pStyle w:val="Compact"/>
      </w:pPr>
      <w:r>
        <w:t xml:space="preserve">Создан сценарий</w:t>
      </w:r>
      <w:r>
        <w:t xml:space="preserve"> </w:t>
      </w:r>
      <w:r>
        <w:rPr>
          <w:rStyle w:val="VerbatimChar"/>
        </w:rPr>
        <w:t xml:space="preserve">meandr.m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Построены меандры с различным числом гармоник (N=2,4,6,8).</w:t>
      </w:r>
    </w:p>
    <w:p>
      <w:pPr>
        <w:numPr>
          <w:ilvl w:val="0"/>
          <w:numId w:val="1005"/>
        </w:numPr>
        <w:pStyle w:val="Compact"/>
      </w:pPr>
      <w:r>
        <w:t xml:space="preserve">Использованы только нечётные гармоники.</w:t>
      </w:r>
    </w:p>
    <w:p>
      <w:pPr>
        <w:pStyle w:val="CaptionedFigure"/>
      </w:pPr>
      <w:bookmarkStart w:id="34" w:name="fig:003"/>
      <w:r>
        <w:drawing>
          <wp:inline>
            <wp:extent cx="5334000" cy="4000500"/>
            <wp:effectExtent b="0" l="0" r="0" t="0"/>
            <wp:docPr descr="Рис. 3: Меандры с разным числом гармоник" title="" id="32" name="Picture"/>
            <a:graphic>
              <a:graphicData uri="http://schemas.openxmlformats.org/drawingml/2006/picture">
                <pic:pic>
                  <pic:nvPicPr>
                    <pic:cNvPr descr="files/meandr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Меандры с разным числом гармоник</w:t>
      </w:r>
    </w:p>
    <w:p>
      <w:pPr>
        <w:pStyle w:val="CaptionedFigure"/>
      </w:pPr>
      <w:bookmarkStart w:id="38" w:name="fig:004"/>
      <w:r>
        <w:drawing>
          <wp:inline>
            <wp:extent cx="5334000" cy="4000500"/>
            <wp:effectExtent b="0" l="0" r="0" t="0"/>
            <wp:docPr descr="Рис. 4: Меандры (альтернативный вариант)" title="" id="36" name="Picture"/>
            <a:graphic>
              <a:graphicData uri="http://schemas.openxmlformats.org/drawingml/2006/picture">
                <pic:pic>
                  <pic:nvPicPr>
                    <pic:cNvPr descr="files/meandr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Меандры (альтернативный вариант)</w:t>
      </w:r>
    </w:p>
    <w:bookmarkEnd w:id="39"/>
    <w:bookmarkStart w:id="52" w:name="определение-спектра-сигнал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3. Определение спектра сигналов</w:t>
      </w:r>
    </w:p>
    <w:p>
      <w:pPr>
        <w:numPr>
          <w:ilvl w:val="0"/>
          <w:numId w:val="1006"/>
        </w:numPr>
        <w:pStyle w:val="Compact"/>
      </w:pPr>
      <w:r>
        <w:t xml:space="preserve">Построены два сигнала разной частоты (10 Гц и 40 Гц) и их спектры.</w:t>
      </w:r>
    </w:p>
    <w:p>
      <w:pPr>
        <w:numPr>
          <w:ilvl w:val="0"/>
          <w:numId w:val="1006"/>
        </w:numPr>
        <w:pStyle w:val="Compact"/>
      </w:pPr>
      <w:r>
        <w:t xml:space="preserve">Найден спектр их суммы.</w:t>
      </w:r>
    </w:p>
    <w:p>
      <w:pPr>
        <w:pStyle w:val="CaptionedFigure"/>
      </w:pPr>
      <w:bookmarkStart w:id="43" w:name="fig:005"/>
      <w:r>
        <w:drawing>
          <wp:inline>
            <wp:extent cx="5334000" cy="4000500"/>
            <wp:effectExtent b="0" l="0" r="0" t="0"/>
            <wp:docPr descr="Рис. 5: Сигналы" title="" id="41" name="Picture"/>
            <a:graphic>
              <a:graphicData uri="http://schemas.openxmlformats.org/drawingml/2006/picture">
                <pic:pic>
                  <pic:nvPicPr>
                    <pic:cNvPr descr="files/signal/am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Сигналы</w:t>
      </w:r>
    </w:p>
    <w:p>
      <w:pPr>
        <w:pStyle w:val="CaptionedFigure"/>
      </w:pPr>
      <w:bookmarkStart w:id="47" w:name="fig:006"/>
      <w:r>
        <w:drawing>
          <wp:inline>
            <wp:extent cx="5334000" cy="4001795"/>
            <wp:effectExtent b="0" l="0" r="0" t="0"/>
            <wp:docPr descr="Рис. 6: Спектры сигналов" title="" id="45" name="Picture"/>
            <a:graphic>
              <a:graphicData uri="http://schemas.openxmlformats.org/drawingml/2006/picture">
                <pic:pic>
                  <pic:nvPicPr>
                    <pic:cNvPr descr="files/spectre/ami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Спектры сигналов</w:t>
      </w:r>
    </w:p>
    <w:p>
      <w:pPr>
        <w:pStyle w:val="CaptionedFigure"/>
      </w:pPr>
      <w:bookmarkStart w:id="51" w:name="fig:007"/>
      <w:r>
        <w:drawing>
          <wp:inline>
            <wp:extent cx="5334000" cy="4001795"/>
            <wp:effectExtent b="0" l="0" r="0" t="0"/>
            <wp:docPr descr="Рис. 7: Спектр суммы" title="" id="49" name="Picture"/>
            <a:graphic>
              <a:graphicData uri="http://schemas.openxmlformats.org/drawingml/2006/picture">
                <pic:pic>
                  <pic:nvPicPr>
                    <pic:cNvPr descr="files/spectre/bipolarrz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Спектр суммы</w:t>
      </w:r>
    </w:p>
    <w:bookmarkEnd w:id="52"/>
    <w:bookmarkStart w:id="60" w:name="амплитудная-модуляц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 Амплитудная модуляция</w:t>
      </w:r>
    </w:p>
    <w:p>
      <w:pPr>
        <w:numPr>
          <w:ilvl w:val="0"/>
          <w:numId w:val="1007"/>
        </w:numPr>
        <w:pStyle w:val="Compact"/>
      </w:pPr>
      <w:r>
        <w:t xml:space="preserve">Сгенерирован сигнал амплитудной модуляции (несущая 50 Гц, модулирующий сигнал 5 Гц).</w:t>
      </w:r>
    </w:p>
    <w:p>
      <w:pPr>
        <w:numPr>
          <w:ilvl w:val="0"/>
          <w:numId w:val="1007"/>
        </w:numPr>
        <w:pStyle w:val="Compact"/>
      </w:pPr>
      <w:r>
        <w:t xml:space="preserve">Построена огибающая и рассчитан спектр.</w:t>
      </w:r>
    </w:p>
    <w:p>
      <w:pPr>
        <w:pStyle w:val="CaptionedFigure"/>
      </w:pPr>
      <w:bookmarkStart w:id="55" w:name="fig:008"/>
      <w:r>
        <w:drawing>
          <wp:inline>
            <wp:extent cx="5334000" cy="4000500"/>
            <wp:effectExtent b="0" l="0" r="0" t="0"/>
            <wp:docPr descr="Рис. 8: Амплитудная модуляция" title="" id="53" name="Picture"/>
            <a:graphic>
              <a:graphicData uri="http://schemas.openxmlformats.org/drawingml/2006/picture">
                <pic:pic>
                  <pic:nvPicPr>
                    <pic:cNvPr descr="files/signal/am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Амплитудная модуляция</w:t>
      </w:r>
    </w:p>
    <w:p>
      <w:pPr>
        <w:pStyle w:val="CaptionedFigure"/>
      </w:pPr>
      <w:bookmarkStart w:id="59" w:name="fig:009"/>
      <w:r>
        <w:drawing>
          <wp:inline>
            <wp:extent cx="5334000" cy="4001795"/>
            <wp:effectExtent b="0" l="0" r="0" t="0"/>
            <wp:docPr descr="Рис. 9: Спектр АМ-сигнала" title="" id="57" name="Picture"/>
            <a:graphic>
              <a:graphicData uri="http://schemas.openxmlformats.org/drawingml/2006/picture">
                <pic:pic>
                  <pic:nvPicPr>
                    <pic:cNvPr descr="files/spectre/am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Спектр АМ-сигнала</w:t>
      </w:r>
    </w:p>
    <w:bookmarkEnd w:id="60"/>
    <w:bookmarkStart w:id="85" w:name="кодирование-сигнала-и-самосинхронизация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5. Кодирование сигнала и самосинхронизация</w:t>
      </w:r>
    </w:p>
    <w:p>
      <w:pPr>
        <w:numPr>
          <w:ilvl w:val="0"/>
          <w:numId w:val="1008"/>
        </w:numPr>
      </w:pPr>
      <w:r>
        <w:t xml:space="preserve">Проверены свойства кодов: NRZ, RZ, AMI, Манчестер, дифференциальный Манчестер.</w:t>
      </w:r>
    </w:p>
    <w:p>
      <w:pPr>
        <w:numPr>
          <w:ilvl w:val="0"/>
          <w:numId w:val="1008"/>
        </w:numPr>
      </w:pPr>
      <w:r>
        <w:t xml:space="preserve">Получены спектры закодированных сигналов.</w:t>
      </w:r>
    </w:p>
    <w:p>
      <w:pPr>
        <w:pStyle w:val="FirstParagraph"/>
      </w:pPr>
      <w:r>
        <w:t xml:space="preserve">Примеры:</w:t>
      </w:r>
    </w:p>
    <w:p>
      <w:pPr>
        <w:pStyle w:val="CaptionedFigure"/>
      </w:pPr>
      <w:bookmarkStart w:id="64" w:name="fig:010"/>
      <w:r>
        <w:drawing>
          <wp:inline>
            <wp:extent cx="5334000" cy="4001795"/>
            <wp:effectExtent b="0" l="0" r="0" t="0"/>
            <wp:docPr descr="Рис. 10: AMI кодирование" title="" id="62" name="Picture"/>
            <a:graphic>
              <a:graphicData uri="http://schemas.openxmlformats.org/drawingml/2006/picture">
                <pic:pic>
                  <pic:nvPicPr>
                    <pic:cNvPr descr="files/signal/ami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AMI кодирование</w:t>
      </w:r>
    </w:p>
    <w:p>
      <w:pPr>
        <w:pStyle w:val="CaptionedFigure"/>
      </w:pPr>
      <w:bookmarkStart w:id="68" w:name="fig:011"/>
      <w:r>
        <w:drawing>
          <wp:inline>
            <wp:extent cx="5334000" cy="4001795"/>
            <wp:effectExtent b="0" l="0" r="0" t="0"/>
            <wp:docPr descr="Рис. 11: NRZ кодирование" title="" id="66" name="Picture"/>
            <a:graphic>
              <a:graphicData uri="http://schemas.openxmlformats.org/drawingml/2006/picture">
                <pic:pic>
                  <pic:nvPicPr>
                    <pic:cNvPr descr="files/signal/bipolarnrz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NRZ кодирование</w:t>
      </w:r>
    </w:p>
    <w:p>
      <w:pPr>
        <w:pStyle w:val="CaptionedFigure"/>
      </w:pPr>
      <w:bookmarkStart w:id="72" w:name="fig:012"/>
      <w:r>
        <w:drawing>
          <wp:inline>
            <wp:extent cx="5334000" cy="4001795"/>
            <wp:effectExtent b="0" l="0" r="0" t="0"/>
            <wp:docPr descr="Рис. 12: RZ кодирование" title="" id="70" name="Picture"/>
            <a:graphic>
              <a:graphicData uri="http://schemas.openxmlformats.org/drawingml/2006/picture">
                <pic:pic>
                  <pic:nvPicPr>
                    <pic:cNvPr descr="files/signal/bipolarrz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RZ кодирование</w:t>
      </w:r>
    </w:p>
    <w:p>
      <w:pPr>
        <w:pStyle w:val="CaptionedFigure"/>
      </w:pPr>
      <w:bookmarkStart w:id="76" w:name="fig:013"/>
      <w:r>
        <w:drawing>
          <wp:inline>
            <wp:extent cx="5334000" cy="4001795"/>
            <wp:effectExtent b="0" l="0" r="0" t="0"/>
            <wp:docPr descr="Рис. 13: Дифференциальный Манчестер" title="" id="74" name="Picture"/>
            <a:graphic>
              <a:graphicData uri="http://schemas.openxmlformats.org/drawingml/2006/picture">
                <pic:pic>
                  <pic:nvPicPr>
                    <pic:cNvPr descr="files/signal/diffmanc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Дифференциальный Манчестер</w:t>
      </w:r>
    </w:p>
    <w:p>
      <w:pPr>
        <w:pStyle w:val="CaptionedFigure"/>
      </w:pPr>
      <w:bookmarkStart w:id="80" w:name="fig:014"/>
      <w:r>
        <w:drawing>
          <wp:inline>
            <wp:extent cx="5334000" cy="4001795"/>
            <wp:effectExtent b="0" l="0" r="0" t="0"/>
            <wp:docPr descr="Рис. 14: Самосинхронизация (AMI)" title="" id="78" name="Picture"/>
            <a:graphic>
              <a:graphicData uri="http://schemas.openxmlformats.org/drawingml/2006/picture">
                <pic:pic>
                  <pic:nvPicPr>
                    <pic:cNvPr descr="files/sync/ami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Самосинхронизация (AMI)</w:t>
      </w:r>
    </w:p>
    <w:p>
      <w:pPr>
        <w:pStyle w:val="CaptionedFigure"/>
      </w:pPr>
      <w:bookmarkStart w:id="84" w:name="fig:015"/>
      <w:r>
        <w:drawing>
          <wp:inline>
            <wp:extent cx="5334000" cy="4001795"/>
            <wp:effectExtent b="0" l="0" r="0" t="0"/>
            <wp:docPr descr="Рис. 15: Самосинхронизация (Манчестер)" title="" id="82" name="Picture"/>
            <a:graphic>
              <a:graphicData uri="http://schemas.openxmlformats.org/drawingml/2006/picture">
                <pic:pic>
                  <pic:nvPicPr>
                    <pic:cNvPr descr="files/sync/manchester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Самосинхронизация (Манчестер)</w:t>
      </w:r>
    </w:p>
    <w:bookmarkEnd w:id="85"/>
    <w:bookmarkEnd w:id="86"/>
    <w:bookmarkStart w:id="8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изучены методы анализа и обработки сигналов: построение графиков, разложение в ряд Фурье, спектральный анализ, амплитудная модуляция и кодирование сигналов. Получены навыки работы в Octave и закреплены базовые понятия теории сигналов.</w:t>
      </w:r>
    </w:p>
    <w:bookmarkEnd w:id="87"/>
    <w:bookmarkStart w:id="8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Королькова А. В., Кулябов Д. С.</w:t>
      </w:r>
      <w:r>
        <w:t xml:space="preserve"> </w:t>
      </w:r>
      <w:r>
        <w:rPr>
          <w:iCs/>
          <w:i/>
        </w:rPr>
        <w:t xml:space="preserve">Сетевые технологии. Лабораторный практикум</w:t>
      </w:r>
      <w:r>
        <w:t xml:space="preserve">. — М.: РУДН, 2020.</w:t>
      </w:r>
    </w:p>
    <w:p>
      <w:pPr>
        <w:numPr>
          <w:ilvl w:val="0"/>
          <w:numId w:val="1009"/>
        </w:numPr>
        <w:pStyle w:val="Compact"/>
      </w:pPr>
      <w:r>
        <w:t xml:space="preserve">Oppenheim A. V., Schafer R. W.</w:t>
      </w:r>
      <w:r>
        <w:t xml:space="preserve"> </w:t>
      </w:r>
      <w:r>
        <w:rPr>
          <w:iCs/>
          <w:i/>
        </w:rPr>
        <w:t xml:space="preserve">Discrete-Time Signal Processing</w:t>
      </w:r>
      <w:r>
        <w:t xml:space="preserve">. — Prentice Hall, 2010.</w:t>
      </w:r>
    </w:p>
    <w:p>
      <w:pPr>
        <w:numPr>
          <w:ilvl w:val="0"/>
          <w:numId w:val="1009"/>
        </w:numPr>
        <w:pStyle w:val="Compact"/>
      </w:pPr>
      <w:r>
        <w:t xml:space="preserve">Proakis J. G.</w:t>
      </w:r>
      <w:r>
        <w:t xml:space="preserve"> </w:t>
      </w:r>
      <w:r>
        <w:rPr>
          <w:iCs/>
          <w:i/>
        </w:rPr>
        <w:t xml:space="preserve">Digital Communications</w:t>
      </w:r>
      <w:r>
        <w:t xml:space="preserve">. — McGraw-Hill, 2001.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Суннатилло Махмудов</dc:creator>
  <dc:language>ru-RU</dc:language>
  <cp:keywords/>
  <dcterms:created xsi:type="dcterms:W3CDTF">2025-09-11T08:55:52Z</dcterms:created>
  <dcterms:modified xsi:type="dcterms:W3CDTF">2025-09-11T08:55:52Z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Методы кодирования и модуляция сигналов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