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usiness-reference-model"/>
    <w:p>
      <w:pPr>
        <w:pStyle w:val="Heading1"/>
      </w:pPr>
      <w:r>
        <w:t xml:space="preserve">Business Reference Model</w:t>
      </w:r>
    </w:p>
    <w:p>
      <w:pPr>
        <w:pStyle w:val="FirstParagraph"/>
      </w:pPr>
      <w:r>
        <w:rPr>
          <w:i/>
          <w:iCs/>
        </w:rPr>
        <w:t xml:space="preserve">Placeholder content for Business Reference Model.</w:t>
      </w:r>
    </w:p>
    <w:bookmarkEnd w:id="20"/>
    <w:bookmarkStart w:id="21" w:name="Xe72def03d04ec14cb9c2c3241a6e72114599abb"/>
    <w:p>
      <w:pPr>
        <w:pStyle w:val="Heading1"/>
      </w:pPr>
      <w:r>
        <w:t xml:space="preserve">Business Architecture Development and Management Guidelines</w:t>
      </w:r>
    </w:p>
    <w:p>
      <w:pPr>
        <w:pStyle w:val="FirstParagraph"/>
      </w:pPr>
      <w:r>
        <w:rPr>
          <w:i/>
          <w:iCs/>
        </w:rPr>
        <w:t xml:space="preserve">Placeholder content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smahoney@mitr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smahoney@mitr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2025-12-04T18:14:04Z</dcterms:created>
  <dcterms:modified xsi:type="dcterms:W3CDTF">2025-12-04T18:14:04Z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ook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