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87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</w:t>
      </w:r>
    </w:p>
    <w:p>
      <w:pPr>
        <w:pStyle w:val="BodyText"/>
      </w:pP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</w:p>
    <w:p>
      <w:pPr>
        <w:pStyle w:val="BodyText"/>
      </w:pP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Можно считать, что он больше любых</w:t>
      </w:r>
      <w:r>
        <w:t xml:space="preserve"> </w:t>
      </w:r>
      <w:r>
        <w:t xml:space="preserve">других языков приближен к архитектуре ЭВМ и её аппаратным возможностям,</w:t>
      </w:r>
      <w:r>
        <w:t xml:space="preserve"> </w:t>
      </w:r>
      <w:r>
        <w:t xml:space="preserve">что позволяет получить к ним более полный доступ, нежели в языках высокого</w:t>
      </w:r>
      <w:r>
        <w:t xml:space="preserve"> </w:t>
      </w:r>
      <w:r>
        <w:t xml:space="preserve">уровня, таких как C/C++, Perl, Python и пр. Заметим, что получить полный доступ</w:t>
      </w:r>
      <w:r>
        <w:t xml:space="preserve"> </w:t>
      </w:r>
      <w:r>
        <w:t xml:space="preserve">к ресурсам компьютера в современных архитектурах нельзя, самым низким</w:t>
      </w:r>
      <w:r>
        <w:t xml:space="preserve"> </w:t>
      </w:r>
      <w:r>
        <w:t xml:space="preserve">уровнем работы прикладной программы является обращение напрямую к ядру</w:t>
      </w:r>
      <w:r>
        <w:t xml:space="preserve"> </w:t>
      </w:r>
      <w:r>
        <w:t xml:space="preserve">операционной системы. Именно на этом уровне и работают программы, напи-</w:t>
      </w:r>
      <w:r>
        <w:t xml:space="preserve"> </w:t>
      </w:r>
      <w:r>
        <w:t xml:space="preserve">санные на ассемблере. Но в отличие от языков высокого уровня ассемблерная</w:t>
      </w:r>
      <w:r>
        <w:t xml:space="preserve"> </w:t>
      </w:r>
      <w:r>
        <w:t xml:space="preserve">программа содержит только тот код, который ввёл программист. Таким образом</w:t>
      </w:r>
      <w:r>
        <w:t xml:space="preserve"> </w:t>
      </w:r>
      <w:r>
        <w:t xml:space="preserve">язык ассемблера — это язык, с помощью которого понятным для человека</w:t>
      </w:r>
      <w:r>
        <w:t xml:space="preserve"> </w:t>
      </w:r>
      <w:r>
        <w:t xml:space="preserve">образом пишутся команды для процессора.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Создаём текстовый файл с именем hello.asm (рис. 1)</w:t>
      </w:r>
    </w:p>
    <w:p>
      <w:pPr>
        <w:pStyle w:val="CaptionedFigure"/>
      </w:pPr>
      <w:bookmarkStart w:id="25" w:name="fig:001"/>
      <w:r>
        <w:drawing>
          <wp:inline>
            <wp:extent cx="5334000" cy="412172"/>
            <wp:effectExtent b="0" l="0" r="0" t="0"/>
            <wp:docPr descr="Рис. 1: рисунок 1" title="" id="23" name="Picture"/>
            <a:graphic>
              <a:graphicData uri="http://schemas.openxmlformats.org/drawingml/2006/picture">
                <pic:pic>
                  <pic:nvPicPr>
                    <pic:cNvPr descr="image/ЛР5-рис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рисунок 1</w:t>
      </w:r>
    </w:p>
    <w:p>
      <w:pPr>
        <w:numPr>
          <w:ilvl w:val="0"/>
          <w:numId w:val="1002"/>
        </w:numPr>
        <w:pStyle w:val="Compact"/>
      </w:pPr>
      <w:r>
        <w:t xml:space="preserve">Открываем этот файл с помощью gedit (рис. 2)</w:t>
      </w:r>
    </w:p>
    <w:p>
      <w:pPr>
        <w:pStyle w:val="CaptionedFigure"/>
      </w:pPr>
      <w:bookmarkStart w:id="29" w:name="fig:002"/>
      <w:r>
        <w:drawing>
          <wp:inline>
            <wp:extent cx="5334000" cy="412172"/>
            <wp:effectExtent b="0" l="0" r="0" t="0"/>
            <wp:docPr descr="Рис. 2: рисунок 2" title="" id="27" name="Picture"/>
            <a:graphic>
              <a:graphicData uri="http://schemas.openxmlformats.org/drawingml/2006/picture">
                <pic:pic>
                  <pic:nvPicPr>
                    <pic:cNvPr descr="image/ЛР5-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рисунок 2</w:t>
      </w:r>
    </w:p>
    <w:p>
      <w:pPr>
        <w:numPr>
          <w:ilvl w:val="0"/>
          <w:numId w:val="1003"/>
        </w:numPr>
        <w:pStyle w:val="Compact"/>
      </w:pPr>
      <w:r>
        <w:t xml:space="preserve">Вводим в него текст, данный в лабораторной работе (рис. 3)</w:t>
      </w:r>
    </w:p>
    <w:p>
      <w:pPr>
        <w:pStyle w:val="CaptionedFigure"/>
      </w:pPr>
      <w:bookmarkStart w:id="33" w:name="fig:003"/>
      <w:r>
        <w:drawing>
          <wp:inline>
            <wp:extent cx="5334000" cy="3326111"/>
            <wp:effectExtent b="0" l="0" r="0" t="0"/>
            <wp:docPr descr="Рис. 3: рисунок 3" title="" id="31" name="Picture"/>
            <a:graphic>
              <a:graphicData uri="http://schemas.openxmlformats.org/drawingml/2006/picture">
                <pic:pic>
                  <pic:nvPicPr>
                    <pic:cNvPr descr="image/ЛР5-рис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рисунок 3</w:t>
      </w:r>
    </w:p>
    <w:p>
      <w:pPr>
        <w:numPr>
          <w:ilvl w:val="0"/>
          <w:numId w:val="1004"/>
        </w:numPr>
        <w:pStyle w:val="Compact"/>
      </w:pPr>
      <w:r>
        <w:t xml:space="preserve">Компилируем текст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7" w:name="fig:004"/>
      <w:r>
        <w:drawing>
          <wp:inline>
            <wp:extent cx="5334000" cy="312821"/>
            <wp:effectExtent b="0" l="0" r="0" t="0"/>
            <wp:docPr descr="Рис. 4: рисунок 4" title="" id="35" name="Picture"/>
            <a:graphic>
              <a:graphicData uri="http://schemas.openxmlformats.org/drawingml/2006/picture">
                <pic:pic>
                  <pic:nvPicPr>
                    <pic:cNvPr descr="image/ЛР5-рис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рисунок 4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ls проверяем, что объектный файл был создан (рис. 5). Объектный файл имеет имя hello.o</w:t>
      </w:r>
    </w:p>
    <w:p>
      <w:pPr>
        <w:pStyle w:val="CaptionedFigure"/>
      </w:pPr>
      <w:bookmarkStart w:id="41" w:name="fig:005"/>
      <w:r>
        <w:drawing>
          <wp:inline>
            <wp:extent cx="5334000" cy="453957"/>
            <wp:effectExtent b="0" l="0" r="0" t="0"/>
            <wp:docPr descr="Рис. 5: рисунок 5" title="" id="39" name="Picture"/>
            <a:graphic>
              <a:graphicData uri="http://schemas.openxmlformats.org/drawingml/2006/picture">
                <pic:pic>
                  <pic:nvPicPr>
                    <pic:cNvPr descr="image/ЛР5-рис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рисунок 5</w:t>
      </w:r>
    </w:p>
    <w:p>
      <w:pPr>
        <w:numPr>
          <w:ilvl w:val="0"/>
          <w:numId w:val="1006"/>
        </w:numPr>
        <w:pStyle w:val="Compact"/>
      </w:pPr>
      <w:r>
        <w:t xml:space="preserve">Скомпилируем исходный файл hello.asm в obj.o и с помощью команды ls проверяем, что файлы были созданы.(рис. 6)</w:t>
      </w:r>
    </w:p>
    <w:p>
      <w:pPr>
        <w:pStyle w:val="CaptionedFigure"/>
      </w:pPr>
      <w:bookmarkStart w:id="45" w:name="fig:006"/>
      <w:r>
        <w:drawing>
          <wp:inline>
            <wp:extent cx="5334000" cy="502595"/>
            <wp:effectExtent b="0" l="0" r="0" t="0"/>
            <wp:docPr descr="Рис. 6: рисунок 6" title="" id="43" name="Picture"/>
            <a:graphic>
              <a:graphicData uri="http://schemas.openxmlformats.org/drawingml/2006/picture">
                <pic:pic>
                  <pic:nvPicPr>
                    <pic:cNvPr descr="image/ЛР5-рис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рисунок 6</w:t>
      </w:r>
    </w:p>
    <w:p>
      <w:pPr>
        <w:numPr>
          <w:ilvl w:val="0"/>
          <w:numId w:val="1007"/>
        </w:numPr>
        <w:pStyle w:val="Compact"/>
      </w:pPr>
      <w:r>
        <w:t xml:space="preserve">Далее чтобы получить исполняемую программу, объектный файл необходимо передать на обработку компоновщику,с помощью команды ls проверяем что файл hello был создан. (рис. 7)</w:t>
      </w:r>
    </w:p>
    <w:p>
      <w:pPr>
        <w:pStyle w:val="CaptionedFigure"/>
      </w:pPr>
      <w:bookmarkStart w:id="49" w:name="fig:007"/>
      <w:r>
        <w:drawing>
          <wp:inline>
            <wp:extent cx="5334000" cy="502595"/>
            <wp:effectExtent b="0" l="0" r="0" t="0"/>
            <wp:docPr descr="Рис. 7: рисунок 7" title="" id="47" name="Picture"/>
            <a:graphic>
              <a:graphicData uri="http://schemas.openxmlformats.org/drawingml/2006/picture">
                <pic:pic>
                  <pic:nvPicPr>
                    <pic:cNvPr descr="image/ЛР5-рис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рисунок 7</w:t>
      </w:r>
    </w:p>
    <w:p>
      <w:pPr>
        <w:numPr>
          <w:ilvl w:val="0"/>
          <w:numId w:val="1008"/>
        </w:numPr>
        <w:pStyle w:val="Compact"/>
      </w:pPr>
      <w:r>
        <w:t xml:space="preserve">Выполняем следующую команду, которая создаёт файл main (рис. 8)</w:t>
      </w:r>
    </w:p>
    <w:p>
      <w:pPr>
        <w:pStyle w:val="CaptionedFigure"/>
      </w:pPr>
      <w:bookmarkStart w:id="53" w:name="fig:008"/>
      <w:r>
        <w:drawing>
          <wp:inline>
            <wp:extent cx="5334000" cy="502595"/>
            <wp:effectExtent b="0" l="0" r="0" t="0"/>
            <wp:docPr descr="Рис. 8: рисунок 8" title="" id="51" name="Picture"/>
            <a:graphic>
              <a:graphicData uri="http://schemas.openxmlformats.org/drawingml/2006/picture">
                <pic:pic>
                  <pic:nvPicPr>
                    <pic:cNvPr descr="image/ЛР5-рис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рисунок 8</w:t>
      </w:r>
    </w:p>
    <w:p>
      <w:pPr>
        <w:numPr>
          <w:ilvl w:val="0"/>
          <w:numId w:val="1009"/>
        </w:numPr>
        <w:pStyle w:val="Compact"/>
      </w:pPr>
      <w:r>
        <w:t xml:space="preserve">Запускаем на выполнение созданный исполняемый файл, находящийся в текущем каталоге (рис. 9)</w:t>
      </w:r>
    </w:p>
    <w:p>
      <w:pPr>
        <w:pStyle w:val="CaptionedFigure"/>
      </w:pPr>
      <w:bookmarkStart w:id="57" w:name="fig:009"/>
      <w:r>
        <w:drawing>
          <wp:inline>
            <wp:extent cx="5334000" cy="502595"/>
            <wp:effectExtent b="0" l="0" r="0" t="0"/>
            <wp:docPr descr="Рис. 9: рисунок 9" title="" id="55" name="Picture"/>
            <a:graphic>
              <a:graphicData uri="http://schemas.openxmlformats.org/drawingml/2006/picture">
                <pic:pic>
                  <pic:nvPicPr>
                    <pic:cNvPr descr="image/ЛР5-рис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рисунок 9</w:t>
      </w:r>
    </w:p>
    <w:bookmarkEnd w:id="58"/>
    <w:bookmarkStart w:id="91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0"/>
        </w:numPr>
        <w:pStyle w:val="Compact"/>
      </w:pPr>
      <w:r>
        <w:t xml:space="preserve">В каталоге ~/work/arch-pc/lab05 с помощью команды cp создаем копию файла hello.asm с именем lab5.asm (рис. 10)</w:t>
      </w:r>
    </w:p>
    <w:p>
      <w:pPr>
        <w:pStyle w:val="CaptionedFigure"/>
      </w:pPr>
      <w:bookmarkStart w:id="62" w:name="fig:010"/>
      <w:r>
        <w:drawing>
          <wp:inline>
            <wp:extent cx="5334000" cy="1044136"/>
            <wp:effectExtent b="0" l="0" r="0" t="0"/>
            <wp:docPr descr="Рис. 10: рисунок 10" title="" id="60" name="Picture"/>
            <a:graphic>
              <a:graphicData uri="http://schemas.openxmlformats.org/drawingml/2006/picture">
                <pic:pic>
                  <pic:nvPicPr>
                    <pic:cNvPr descr="image/ЛР5-рис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4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рисунок 10</w:t>
      </w:r>
    </w:p>
    <w:p>
      <w:pPr>
        <w:numPr>
          <w:ilvl w:val="0"/>
          <w:numId w:val="1011"/>
        </w:numPr>
        <w:pStyle w:val="Compact"/>
      </w:pPr>
      <w:r>
        <w:t xml:space="preserve">С помощью gedit вносим изменения в текст программы в файле lab5.asm так, чтобы вместо Hello world! на экран выводилась строка с моей фамилией и именем. (рис. 11)</w:t>
      </w:r>
    </w:p>
    <w:p>
      <w:pPr>
        <w:pStyle w:val="CaptionedFigure"/>
      </w:pPr>
      <w:bookmarkStart w:id="66" w:name="fig:011"/>
      <w:r>
        <w:drawing>
          <wp:inline>
            <wp:extent cx="5334000" cy="2316311"/>
            <wp:effectExtent b="0" l="0" r="0" t="0"/>
            <wp:docPr descr="Рис. 11: рисунок 11" title="" id="64" name="Picture"/>
            <a:graphic>
              <a:graphicData uri="http://schemas.openxmlformats.org/drawingml/2006/picture">
                <pic:pic>
                  <pic:nvPicPr>
                    <pic:cNvPr descr="image/ЛР5-рис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рисунок 11</w:t>
      </w:r>
    </w:p>
    <w:p>
      <w:pPr>
        <w:numPr>
          <w:ilvl w:val="0"/>
          <w:numId w:val="1012"/>
        </w:numPr>
        <w:pStyle w:val="Compact"/>
      </w:pPr>
      <w:r>
        <w:t xml:space="preserve">Оттранслируем полученный текст программы lab5.asm в объектный файл. (рис. 12) (рис. 13)</w:t>
      </w:r>
    </w:p>
    <w:p>
      <w:pPr>
        <w:pStyle w:val="CaptionedFigure"/>
      </w:pPr>
      <w:bookmarkStart w:id="70" w:name="fig:012"/>
      <w:r>
        <w:drawing>
          <wp:inline>
            <wp:extent cx="5334000" cy="370416"/>
            <wp:effectExtent b="0" l="0" r="0" t="0"/>
            <wp:docPr descr="Рис. 12: рисунок 12" title="" id="68" name="Picture"/>
            <a:graphic>
              <a:graphicData uri="http://schemas.openxmlformats.org/drawingml/2006/picture">
                <pic:pic>
                  <pic:nvPicPr>
                    <pic:cNvPr descr="image/ЛР5-рис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рисунок 12</w:t>
      </w:r>
    </w:p>
    <w:p>
      <w:pPr>
        <w:pStyle w:val="CaptionedFigure"/>
      </w:pPr>
      <w:bookmarkStart w:id="74" w:name="fig:013"/>
      <w:r>
        <w:drawing>
          <wp:inline>
            <wp:extent cx="5334000" cy="370416"/>
            <wp:effectExtent b="0" l="0" r="0" t="0"/>
            <wp:docPr descr="Рис. 13: рисунок 13" title="" id="72" name="Picture"/>
            <a:graphic>
              <a:graphicData uri="http://schemas.openxmlformats.org/drawingml/2006/picture">
                <pic:pic>
                  <pic:nvPicPr>
                    <pic:cNvPr descr="image/ЛР5-рис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рисунок 13</w:t>
      </w:r>
    </w:p>
    <w:p>
      <w:pPr>
        <w:numPr>
          <w:ilvl w:val="0"/>
          <w:numId w:val="1013"/>
        </w:numPr>
        <w:pStyle w:val="Compact"/>
      </w:pPr>
      <w:r>
        <w:t xml:space="preserve">Выполняем компоновку объектного файла и запустите получившийся исполняемый файл. (рис. 14) (рис. 15) (рис. 16)</w:t>
      </w:r>
    </w:p>
    <w:p>
      <w:pPr>
        <w:pStyle w:val="CaptionedFigure"/>
      </w:pPr>
      <w:bookmarkStart w:id="78" w:name="fig:014"/>
      <w:r>
        <w:drawing>
          <wp:inline>
            <wp:extent cx="5334000" cy="370416"/>
            <wp:effectExtent b="0" l="0" r="0" t="0"/>
            <wp:docPr descr="Рис. 14: рисунок 14" title="" id="76" name="Picture"/>
            <a:graphic>
              <a:graphicData uri="http://schemas.openxmlformats.org/drawingml/2006/picture">
                <pic:pic>
                  <pic:nvPicPr>
                    <pic:cNvPr descr="image/ЛР5-рис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рисунок 14</w:t>
      </w:r>
    </w:p>
    <w:p>
      <w:pPr>
        <w:pStyle w:val="CaptionedFigure"/>
      </w:pPr>
      <w:bookmarkStart w:id="82" w:name="fig:015"/>
      <w:r>
        <w:drawing>
          <wp:inline>
            <wp:extent cx="5334000" cy="370416"/>
            <wp:effectExtent b="0" l="0" r="0" t="0"/>
            <wp:docPr descr="Рис. 15: рисунок 15" title="" id="80" name="Picture"/>
            <a:graphic>
              <a:graphicData uri="http://schemas.openxmlformats.org/drawingml/2006/picture">
                <pic:pic>
                  <pic:nvPicPr>
                    <pic:cNvPr descr="image/ЛР5-рис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Рис. 15: рисунок 15</w:t>
      </w:r>
    </w:p>
    <w:p>
      <w:pPr>
        <w:pStyle w:val="CaptionedFigure"/>
      </w:pPr>
      <w:bookmarkStart w:id="86" w:name="fig:016"/>
      <w:r>
        <w:drawing>
          <wp:inline>
            <wp:extent cx="5334000" cy="497305"/>
            <wp:effectExtent b="0" l="0" r="0" t="0"/>
            <wp:docPr descr="Рис. 16: рисунок 16" title="" id="84" name="Picture"/>
            <a:graphic>
              <a:graphicData uri="http://schemas.openxmlformats.org/drawingml/2006/picture">
                <pic:pic>
                  <pic:nvPicPr>
                    <pic:cNvPr descr="image/ЛР5-рис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Рис. 16: рисунок 16</w:t>
      </w:r>
    </w:p>
    <w:p>
      <w:pPr>
        <w:numPr>
          <w:ilvl w:val="0"/>
          <w:numId w:val="1014"/>
        </w:numPr>
        <w:pStyle w:val="Compact"/>
      </w:pPr>
      <w:r>
        <w:t xml:space="preserve">Копируем файлы hello.asm и lab5.asm в локальный репозиторий в каталог ~/work/study 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/arch-pc/labs/lab05/. Загружаем файлы на github (рис. 17)</w:t>
      </w:r>
    </w:p>
    <w:p>
      <w:pPr>
        <w:pStyle w:val="CaptionedFigure"/>
      </w:pPr>
      <w:bookmarkStart w:id="90" w:name="fig:017"/>
      <w:r>
        <w:drawing>
          <wp:inline>
            <wp:extent cx="5334000" cy="3866744"/>
            <wp:effectExtent b="0" l="0" r="0" t="0"/>
            <wp:docPr descr="Рис. 17: рисунок 17" title="" id="88" name="Picture"/>
            <a:graphic>
              <a:graphicData uri="http://schemas.openxmlformats.org/drawingml/2006/picture">
                <pic:pic>
                  <pic:nvPicPr>
                    <pic:cNvPr descr="image/ЛР5-рис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6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Рис. 17: рисунок 17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 я освоила процедуры компиляции и сборки программ, написанных на ассемблере NASM.</w:t>
      </w:r>
    </w:p>
    <w:bookmarkEnd w:id="92"/>
    <w:bookmarkStart w:id="94" w:name="список-литературы"/>
    <w:p>
      <w:pPr>
        <w:pStyle w:val="Heading1"/>
      </w:pPr>
      <w:r>
        <w:t xml:space="preserve">Список литературы</w:t>
      </w:r>
    </w:p>
    <w:bookmarkStart w:id="93" w:name="refs"/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7" Target="media/rId8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Акопян Сатеник Манвеловна</dc:creator>
  <dc:language>ru-RU</dc:language>
  <cp:keywords/>
  <dcterms:created xsi:type="dcterms:W3CDTF">2022-11-08T09:22:05Z</dcterms:created>
  <dcterms:modified xsi:type="dcterms:W3CDTF">2022-11-08T09:22:05Z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Создание и процесс обработки программ на языке ассемблера NASM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