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Зависимость от пути</w:t>
      </w:r>
    </w:p>
    <w:p>
      <w:pPr>
        <w:pStyle w:val="Author"/>
      </w:pPr>
      <w:r>
        <w:t xml:space="preserve">Акопян 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урновых моделей с зависимостью от пути как примера стохастических процессов с памятью.</w:t>
      </w:r>
    </w:p>
    <w:bookmarkEnd w:id="20"/>
    <w:bookmarkStart w:id="24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p>
      <w:pPr>
        <w:pStyle w:val="FirstParagraph"/>
      </w:pPr>
      <w:r>
        <w:rPr>
          <w:b/>
          <w:bCs/>
        </w:rPr>
        <w:t xml:space="preserve">Определение и суть концепции</w:t>
      </w:r>
    </w:p>
    <w:p>
      <w:pPr>
        <w:pStyle w:val="BodyText"/>
      </w:pPr>
      <w:r>
        <w:t xml:space="preserve">Зависимость от пути (path dependence) — это свойство динамических систем, при котором их текущее состояние и будущее развитие определяются не только текущими условиями, но и всей историей предыдущих изменений.</w:t>
      </w:r>
    </w:p>
    <w:p>
      <w:pPr>
        <w:pStyle w:val="BodyText"/>
      </w:pPr>
      <w:r>
        <w:t xml:space="preserve">Ключевой принцип: Случайные события или ранние решения могут</w:t>
      </w:r>
      <w:r>
        <w:t xml:space="preserve"> </w:t>
      </w:r>
      <w:r>
        <w:t xml:space="preserve">“закрепляться”</w:t>
      </w:r>
      <w:r>
        <w:t xml:space="preserve"> </w:t>
      </w:r>
      <w:r>
        <w:t xml:space="preserve">в системе, создавая долгосрочные последствия, которые сложно изменить даже при наличии более эффективных альтернатив.</w:t>
      </w:r>
    </w:p>
    <w:p>
      <w:pPr>
        <w:pStyle w:val="BodyText"/>
      </w:pPr>
      <w:r>
        <w:t xml:space="preserve">Механизмы закрепления:</w:t>
      </w:r>
    </w:p>
    <w:p>
      <w:pPr>
        <w:numPr>
          <w:ilvl w:val="0"/>
          <w:numId w:val="1001"/>
        </w:numPr>
      </w:pPr>
      <w:r>
        <w:t xml:space="preserve">Сетевые эффекты (например, рост ценности технологии по мере увеличения числа пользователей).</w:t>
      </w:r>
    </w:p>
    <w:p>
      <w:pPr>
        <w:numPr>
          <w:ilvl w:val="0"/>
          <w:numId w:val="1001"/>
        </w:numPr>
      </w:pPr>
      <w:r>
        <w:t xml:space="preserve">Положительная обратная связь (усиление выбранного пути за счет возрастающей отдачи).</w:t>
      </w:r>
    </w:p>
    <w:p>
      <w:pPr>
        <w:numPr>
          <w:ilvl w:val="0"/>
          <w:numId w:val="1001"/>
        </w:numPr>
      </w:pPr>
      <w:r>
        <w:t xml:space="preserve">Институциональная инерция (например, юридические нормы или традиции, сопротивляющиеся изменениям).</w:t>
      </w:r>
    </w:p>
    <w:p>
      <w:pPr>
        <w:pStyle w:val="FirstParagraph"/>
      </w:pPr>
      <w:r>
        <w:rPr>
          <w:b/>
          <w:bCs/>
        </w:rPr>
        <w:t xml:space="preserve">Урновые модели как базовый инструмент</w:t>
      </w:r>
    </w:p>
    <w:p>
      <w:pPr>
        <w:pStyle w:val="BodyText"/>
      </w:pPr>
      <w:r>
        <w:t xml:space="preserve">В модели Пойи каждый вынутый шар определённого цвета приводит к добавлению в урну новых шаров того же цвета, что усиливает вероятность его выбора в будущем.</w:t>
      </w:r>
    </w:p>
    <w:p>
      <w:pPr>
        <w:pStyle w:val="BodyText"/>
      </w:pPr>
      <w:r>
        <w:t xml:space="preserve">Формализация: Если в начальный момент в урне a шаров цвета A и b шаров цвета B, то вероятность доминирования цвета A к шагу n описывается формулой:</w:t>
      </w:r>
    </w:p>
    <w:p>
      <w:pPr>
        <w:pStyle w:val="CaptionedFigure"/>
      </w:pPr>
      <w:r>
        <w:drawing>
          <wp:inline>
            <wp:extent cx="5334000" cy="1429925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t xml:space="preserve">где α,β — коэффициенты усиления для каждого цвета.</w:t>
      </w:r>
    </w:p>
    <w:p>
      <w:pPr>
        <w:pStyle w:val="BodyText"/>
      </w:pPr>
      <w:r>
        <w:t xml:space="preserve">Неэргодические процессы: Системы, где средние по времени не совпадают с ансамблевыми средними (например, модели с гистерезисом).</w:t>
      </w:r>
    </w:p>
    <w:p>
      <w:pPr>
        <w:pStyle w:val="BodyText"/>
      </w:pPr>
      <w:r>
        <w:t xml:space="preserve">Изучение механизмов</w:t>
      </w:r>
      <w:r>
        <w:t xml:space="preserve"> </w:t>
      </w:r>
      <w:r>
        <w:t xml:space="preserve">“закрепления”</w:t>
      </w:r>
      <w:r>
        <w:t xml:space="preserve"> </w:t>
      </w:r>
      <w:r>
        <w:t xml:space="preserve">траекторий:</w:t>
      </w:r>
    </w:p>
    <w:p>
      <w:pPr>
        <w:pStyle w:val="BodyText"/>
      </w:pPr>
      <w:r>
        <w:t xml:space="preserve">Сетевые эффекты:</w:t>
      </w:r>
    </w:p>
    <w:p>
      <w:pPr>
        <w:pStyle w:val="BodyText"/>
      </w:pPr>
      <w:r>
        <w:t xml:space="preserve">Пример: Рост социальных сетей (Facebook, Twitter) — ценность платформы растёт с числом пользователей, что подавляет конкуренцию.</w:t>
      </w:r>
    </w:p>
    <w:p>
      <w:pPr>
        <w:pStyle w:val="BodyText"/>
      </w:pPr>
      <w:r>
        <w:t xml:space="preserve">Возрастающая отдача (increasing returns):</w:t>
      </w:r>
    </w:p>
    <w:p>
      <w:pPr>
        <w:pStyle w:val="BodyText"/>
      </w:pPr>
      <w:r>
        <w:t xml:space="preserve">Технологии с высокими фиксированными и низкими предельными затратами (например, ПО: разработка дорога, тиражирование дёшево).</w:t>
      </w:r>
    </w:p>
    <w:p>
      <w:pPr>
        <w:pStyle w:val="BodyText"/>
      </w:pPr>
      <w:r>
        <w:t xml:space="preserve">Институциональная инерция:</w:t>
      </w:r>
    </w:p>
    <w:p>
      <w:pPr>
        <w:pStyle w:val="BodyText"/>
      </w:pPr>
      <w:r>
        <w:t xml:space="preserve">Пример: Правовая система Польши до сих пор отражает различия между регионами бывшей Австро-Венгерской, Российской и Прусской империй (исследование Stachowiak-Kudła и Kudła, 2022).</w:t>
      </w:r>
    </w:p>
    <w:p>
      <w:pPr>
        <w:pStyle w:val="BodyText"/>
      </w:pPr>
      <w:r>
        <w:t xml:space="preserve">Критика концепции:</w:t>
      </w:r>
    </w:p>
    <w:p>
      <w:pPr>
        <w:pStyle w:val="BodyText"/>
      </w:pPr>
      <w:r>
        <w:t xml:space="preserve">Спорные случаи:</w:t>
      </w:r>
    </w:p>
    <w:p>
      <w:pPr>
        <w:pStyle w:val="BodyText"/>
      </w:pPr>
      <w:r>
        <w:t xml:space="preserve">QWERTY vs. Dvorak:</w:t>
      </w:r>
    </w:p>
    <w:p>
      <w:pPr>
        <w:pStyle w:val="BodyText"/>
      </w:pPr>
      <w:r>
        <w:t xml:space="preserve">Аргумент</w:t>
      </w:r>
      <w:r>
        <w:t xml:space="preserve"> </w:t>
      </w:r>
      <w:r>
        <w:t xml:space="preserve">“неэффективности”</w:t>
      </w:r>
      <w:r>
        <w:t xml:space="preserve">: Исследования Пола Дэвида (1985) утверждают, что QWERTY — пример субоптимального стандарта.</w:t>
      </w:r>
    </w:p>
    <w:p>
      <w:pPr>
        <w:pStyle w:val="BodyText"/>
      </w:pPr>
      <w:r>
        <w:t xml:space="preserve">Контраргументы Liebowitz и Margolis: Эмпирические данные показывают, что разница в скорости печати между раскладками незначительна, а переходные издержки перевешивают гипотетические выгоды.</w:t>
      </w:r>
    </w:p>
    <w:p>
      <w:pPr>
        <w:pStyle w:val="BodyText"/>
      </w:pPr>
      <w:r>
        <w:t xml:space="preserve">VHS vs. Betamax:</w:t>
      </w:r>
    </w:p>
    <w:p>
      <w:pPr>
        <w:pStyle w:val="BodyText"/>
      </w:pPr>
      <w:r>
        <w:t xml:space="preserve">Дебаты о том, была ли победа VHS следствием зависимости от пути или адаптации к рыночным запросам (длительность записи).</w:t>
      </w:r>
    </w:p>
    <w:p>
      <w:pPr>
        <w:pStyle w:val="BodyText"/>
      </w:pPr>
      <w:r>
        <w:t xml:space="preserve">Теоретические ограничения:</w:t>
      </w:r>
    </w:p>
    <w:p>
      <w:pPr>
        <w:pStyle w:val="BodyText"/>
      </w:pPr>
      <w:r>
        <w:t xml:space="preserve">Многие модели path dependence предполагают идеализированные условия (бесконечное время, отсутствие внешних шоков), что редко выполняется в реальности.</w:t>
      </w:r>
    </w:p>
    <w:p>
      <w:pPr>
        <w:pStyle w:val="BodyText"/>
      </w:pPr>
      <w:r>
        <w:rPr>
          <w:b/>
          <w:bCs/>
        </w:rPr>
        <w:t xml:space="preserve">Типы и условия возникновения</w:t>
      </w:r>
    </w:p>
    <w:p>
      <w:pPr>
        <w:pStyle w:val="BodyText"/>
      </w:pPr>
      <w:r>
        <w:t xml:space="preserve">Экономисты С.Дж. Липовиц и Д. Марголис предложили разделять зависимость от пути на три степени, чтобы отделить случаи, где неэффективность реальна, от ситуаций, где концепция используется некорректно.</w:t>
      </w:r>
    </w:p>
    <w:p>
      <w:pPr>
        <w:pStyle w:val="Compact"/>
        <w:numPr>
          <w:ilvl w:val="0"/>
          <w:numId w:val="1002"/>
        </w:numPr>
      </w:pPr>
      <w:r>
        <w:t xml:space="preserve">Первая степень (Weak Path Dependence)</w:t>
      </w:r>
    </w:p>
    <w:p>
      <w:pPr>
        <w:pStyle w:val="FirstParagraph"/>
      </w:pPr>
      <w:r>
        <w:t xml:space="preserve">Суть: Исторические события влияют на траекторию развития, но конечный результат остаётся оптимальным.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Выбор между двумя технологиями с одинаковой эффективностью. Ранний случайный выбор одной из них создаёт path dependence, но итоговый стандарт не хуже альтернативы.</w:t>
      </w:r>
    </w:p>
    <w:p>
      <w:pPr>
        <w:pStyle w:val="BodyText"/>
      </w:pPr>
      <w:r>
        <w:t xml:space="preserve">Ключевой тезис:</w:t>
      </w:r>
    </w:p>
    <w:p>
      <w:pPr>
        <w:pStyle w:val="BodyText"/>
      </w:pPr>
      <w:r>
        <w:t xml:space="preserve">“История имеет значение, но не ведёт к неоптимальным исходам”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Вторая степень (Semi-Strong Path Dependence)</w:t>
      </w:r>
    </w:p>
    <w:p>
      <w:pPr>
        <w:pStyle w:val="FirstParagraph"/>
      </w:pPr>
      <w:r>
        <w:t xml:space="preserve">Суть: Система застревает в субоптимальном равновесии, но переход к более эффективному состоянию возможен, хотя и требует затрат.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Энергетика: Зависимость от угля в XIX веке. Переход на газ или ВИЭ возможен, но требует инвестиций и политической воли.</w:t>
      </w:r>
    </w:p>
    <w:p>
      <w:pPr>
        <w:pStyle w:val="BodyText"/>
      </w:pPr>
      <w:r>
        <w:t xml:space="preserve">Ключевой тезис:</w:t>
      </w:r>
    </w:p>
    <w:p>
      <w:pPr>
        <w:pStyle w:val="BodyText"/>
      </w:pPr>
      <w:r>
        <w:t xml:space="preserve">“Неэффективность существует, но её можно преодолеть через координацию или внешнее вмешательство”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Третья степень (Strong Path Dependence)</w:t>
      </w:r>
    </w:p>
    <w:p>
      <w:pPr>
        <w:pStyle w:val="FirstParagraph"/>
      </w:pPr>
      <w:r>
        <w:t xml:space="preserve">Суть: Система навсегда заперта в неэффективном состоянии из-за невозможности перехода (высокие издержки, институциональные барьеры).</w:t>
      </w:r>
    </w:p>
    <w:p>
      <w:pPr>
        <w:pStyle w:val="BodyText"/>
      </w:pPr>
      <w:r>
        <w:t xml:space="preserve">Критика Liebowitz и Margolis:</w:t>
      </w:r>
    </w:p>
    <w:p>
      <w:pPr>
        <w:pStyle w:val="BodyText"/>
      </w:pPr>
      <w:r>
        <w:t xml:space="preserve">Учёные утверждают, что реальных примеров третьей степени нет, так как рынки или общества всегда находят пути коррекции.</w:t>
      </w:r>
    </w:p>
    <w:p>
      <w:pPr>
        <w:pStyle w:val="BodyText"/>
      </w:pPr>
      <w:r>
        <w:rPr>
          <w:b/>
          <w:bCs/>
        </w:rPr>
        <w:t xml:space="preserve">Примеры из разных областей</w:t>
      </w:r>
    </w:p>
    <w:p>
      <w:pPr>
        <w:pStyle w:val="BodyText"/>
      </w:pPr>
      <w:r>
        <w:t xml:space="preserve">Технологии:</w:t>
      </w:r>
    </w:p>
    <w:p>
      <w:pPr>
        <w:pStyle w:val="BodyText"/>
      </w:pPr>
      <w:r>
        <w:t xml:space="preserve">QWERTY-клавиатура — изначально разработана для замедления скорости печати на механических пишущих машинках, чтобы избежать заклинивания. Несмотря на появление более эргономичных раскладок (Dvorak), QWERTY остаётся стандартом из-за массового распространения и затрат на переобучение.</w:t>
      </w:r>
    </w:p>
    <w:p>
      <w:pPr>
        <w:pStyle w:val="BodyText"/>
      </w:pPr>
      <w:r>
        <w:t xml:space="preserve">VHS vs. Betamax: Победа VHS в</w:t>
      </w:r>
      <w:r>
        <w:t xml:space="preserve"> </w:t>
      </w:r>
      <w:r>
        <w:t xml:space="preserve">“войне форматов”</w:t>
      </w:r>
      <w:r>
        <w:t xml:space="preserve"> </w:t>
      </w:r>
      <w:r>
        <w:t xml:space="preserve">связана не с техническим превосходством, а с стратегией лицензирования, поддержкой порноиндустрии и сетевыми эффектами (больше доступного контента).</w:t>
      </w:r>
    </w:p>
    <w:p>
      <w:pPr>
        <w:pStyle w:val="BodyText"/>
      </w:pPr>
      <w:r>
        <w:t xml:space="preserve">Экономика:</w:t>
      </w:r>
    </w:p>
    <w:p>
      <w:pPr>
        <w:pStyle w:val="BodyText"/>
      </w:pPr>
      <w:r>
        <w:t xml:space="preserve">Стандартная железнодорожная колея (1435 мм) — исторически выбрана Джорджем Стефенсоном для угольных шахт. Несмотря на инженерные преимущества более широких колей (например, Brunel gauge), стандарт распространился из-за уже построенной инфраструктуры.</w:t>
      </w:r>
    </w:p>
    <w:p>
      <w:pPr>
        <w:pStyle w:val="BodyText"/>
      </w:pPr>
      <w:r>
        <w:t xml:space="preserve">Биология:</w:t>
      </w:r>
    </w:p>
    <w:p>
      <w:pPr>
        <w:pStyle w:val="BodyText"/>
      </w:pPr>
      <w:r>
        <w:t xml:space="preserve">Эволюция панд — рудиментарный</w:t>
      </w:r>
      <w:r>
        <w:t xml:space="preserve"> </w:t>
      </w:r>
      <w:r>
        <w:t xml:space="preserve">“шестой палец”</w:t>
      </w:r>
      <w:r>
        <w:t xml:space="preserve"> </w:t>
      </w:r>
      <w:r>
        <w:t xml:space="preserve">(видоизменённая кость запястья) — пример эволюционной зависимости от пути, где исторически сложившаяся адаптация сохраняется, даже если не оптимальна.</w:t>
      </w:r>
    </w:p>
    <w:p>
      <w:pPr>
        <w:pStyle w:val="BodyText"/>
      </w:pPr>
      <w:r>
        <w:rPr>
          <w:b/>
          <w:bCs/>
        </w:rPr>
        <w:t xml:space="preserve">Условия для возникновения зависимости от пути</w:t>
      </w:r>
    </w:p>
    <w:p>
      <w:pPr>
        <w:pStyle w:val="BodyText"/>
      </w:pPr>
      <w:r>
        <w:t xml:space="preserve">Для появления path dependence необходимы специфические условия, которые делают систему чувствительной к начальным условиям и истории:</w:t>
      </w:r>
    </w:p>
    <w:p>
      <w:pPr>
        <w:pStyle w:val="BodyText"/>
      </w:pPr>
      <w:r>
        <w:t xml:space="preserve">Долговечность капитала (Durability of Capital)</w:t>
      </w:r>
    </w:p>
    <w:p>
      <w:pPr>
        <w:pStyle w:val="BodyText"/>
      </w:pPr>
      <w:r>
        <w:t xml:space="preserve">Суть: Высокие первоначальные инвестиции в инфраструктуру или технологии создают</w:t>
      </w:r>
      <w:r>
        <w:t xml:space="preserve"> </w:t>
      </w:r>
      <w:r>
        <w:t xml:space="preserve">“якорь”</w:t>
      </w:r>
      <w:r>
        <w:t xml:space="preserve">, который трудно сдвинуть.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Железнодорожная колея: Переход с колеи 1435 мм на более широкую (например, русскую 1520 мм) требует замены путей, вагонов и станций, что экономически нецелесообразно.</w:t>
      </w:r>
    </w:p>
    <w:p>
      <w:pPr>
        <w:pStyle w:val="BodyText"/>
      </w:pPr>
      <w:r>
        <w:t xml:space="preserve">Динамическая возрастающая отдача (Dynamic Increasing Returns)</w:t>
      </w:r>
    </w:p>
    <w:p>
      <w:pPr>
        <w:pStyle w:val="BodyText"/>
      </w:pPr>
      <w:r>
        <w:t xml:space="preserve">Суть: Чем больше агентов выбирают определённый путь, тем выше выгода для следующих участников.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Кластеры в IT (Силиконовая долина): Чем больше компаний базируется в регионе, тем легче новым стартапам находить инвесторов, сотрудников и партнёров.</w:t>
      </w:r>
    </w:p>
    <w:p>
      <w:pPr>
        <w:pStyle w:val="BodyText"/>
      </w:pPr>
      <w:r>
        <w:t xml:space="preserve">Техническая взаимосвязанность (Technical Interrelatedness)</w:t>
      </w:r>
    </w:p>
    <w:p>
      <w:pPr>
        <w:pStyle w:val="BodyText"/>
      </w:pPr>
      <w:r>
        <w:t xml:space="preserve">Суть: Компоненты системы настолько связаны, что изменение одного элемента требует перестройки всей системы.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Legacy-системы в банках: Устаревшее ПО для обработки транзакций работает на специфическом</w:t>
      </w:r>
      <w:r>
        <w:t xml:space="preserve"> </w:t>
      </w:r>
      <w:r>
        <w:t xml:space="preserve">“стеке”</w:t>
      </w:r>
      <w:r>
        <w:t xml:space="preserve"> </w:t>
      </w:r>
      <w:r>
        <w:t xml:space="preserve">технологий. Переход на современные системы требует полной перепроектировки архитектуры.</w:t>
      </w:r>
    </w:p>
    <w:p>
      <w:pPr>
        <w:pStyle w:val="BodyText"/>
      </w:pPr>
      <w:r>
        <w:t xml:space="preserve">Институциональная инерция (Institutional Lock-In)</w:t>
      </w:r>
    </w:p>
    <w:p>
      <w:pPr>
        <w:pStyle w:val="BodyText"/>
      </w:pPr>
      <w:r>
        <w:t xml:space="preserve">Суть: Нормы, законы или традиции блокируют изменения.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Правовые системы: В Польше суды в регионах бывшей Австро-Венгрии чаще апеллируют к принципу справедливости, а в бывшей Пруссии — к букве закона, из-за исторически сложившихся традиций.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Акопян Сатеник</dc:creator>
  <dc:language>ru-RU</dc:language>
  <cp:keywords/>
  <dcterms:created xsi:type="dcterms:W3CDTF">2025-04-18T18:20:27Z</dcterms:created>
  <dcterms:modified xsi:type="dcterms:W3CDTF">2025-04-18T18:20:27Z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Зависимость от пути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