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22.png" ContentType="image/png"/>
  <Override PartName="/word/media/rId24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выполнения</w:t>
      </w:r>
    </w:p>
    <w:p>
      <w:pPr>
        <w:pStyle w:val="Author"/>
      </w:pPr>
      <w:r>
        <w:t xml:space="preserve">Акопян</w:t>
      </w:r>
      <w:r>
        <w:t xml:space="preserve"> </w:t>
      </w:r>
      <w:r>
        <w:t xml:space="preserve">Сатеник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задание для самостоятельного выполнения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Для приведённой схемы разработать имитационную модель в пакете NS-2.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размера окна TCP (в Xgraph и в GNUPlot);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длины очереди и средней длины очереди на первом</w:t>
      </w:r>
      <w:r>
        <w:t xml:space="preserve"> </w:t>
      </w:r>
      <w:r>
        <w:t xml:space="preserve">маршрутизаторе.</w:t>
      </w:r>
    </w:p>
    <w:p>
      <w:pPr>
        <w:pStyle w:val="FirstParagraph"/>
      </w:pPr>
      <w:r>
        <w:rPr>
          <w:bCs/>
          <w:b/>
        </w:rPr>
        <w:t xml:space="preserve">Описание моделируемой сети</w:t>
      </w:r>
      <w:r>
        <w:t xml:space="preserve">:</w:t>
      </w:r>
    </w:p>
    <w:p>
      <w:pPr>
        <w:pStyle w:val="BodyText"/>
      </w:pPr>
      <w:r>
        <w:t xml:space="preserve">– сеть состоит из N TCP-источников, N TCP-приёмников, двух маршрутизаторов</w:t>
      </w:r>
      <w:r>
        <w:t xml:space="preserve"> </w:t>
      </w:r>
      <w:r>
        <w:t xml:space="preserve">R1 и R2 между источниками и приёмниками (N — не менее 20);</w:t>
      </w:r>
    </w:p>
    <w:p>
      <w:pPr>
        <w:pStyle w:val="BodyText"/>
      </w:pPr>
      <w:r>
        <w:t xml:space="preserve">– между TCP-источниками и первым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</w:p>
    <w:p>
      <w:pPr>
        <w:pStyle w:val="BodyText"/>
      </w:pPr>
      <w:r>
        <w:t xml:space="preserve">– между TCP-приёмниками и вторым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</w:p>
    <w:p>
      <w:pPr>
        <w:pStyle w:val="BodyText"/>
      </w:pPr>
      <w:r>
        <w:t xml:space="preserve">– между маршрутизаторами установлено симплексное соединение (R1–R2) с про-</w:t>
      </w:r>
      <w:r>
        <w:t xml:space="preserve"> </w:t>
      </w:r>
      <w:r>
        <w:t xml:space="preserve">пускной способностью 20 Мбит/с и задержкой 15 мс очередью типа RED,</w:t>
      </w:r>
      <w:r>
        <w:t xml:space="preserve"> </w:t>
      </w:r>
      <w:r>
        <w:t xml:space="preserve">размером буфера 300 пакетов; в обратную сторону — симплексное соедине-</w:t>
      </w:r>
      <w:r>
        <w:t xml:space="preserve"> </w:t>
      </w:r>
      <w:r>
        <w:t xml:space="preserve">ние (R2–R1) с пропускной способностью 15 Мбит/с и задержкой 20 мс очередью</w:t>
      </w:r>
      <w:r>
        <w:t xml:space="preserve"> </w:t>
      </w:r>
      <w:r>
        <w:t xml:space="preserve">типа DropTail;</w:t>
      </w:r>
    </w:p>
    <w:p>
      <w:pPr>
        <w:pStyle w:val="BodyText"/>
      </w:pPr>
      <w:r>
        <w:t xml:space="preserve">– данные передаются по протоколу FTP поверх TCPReno;</w:t>
      </w:r>
    </w:p>
    <w:p>
      <w:pPr>
        <w:pStyle w:val="BodyText"/>
      </w:pPr>
      <w:r>
        <w:t xml:space="preserve">– параметры алгоритма RED: qmin = 75, qmax = 150, qw = 0, 002, pmax = 0.1;</w:t>
      </w:r>
    </w:p>
    <w:p>
      <w:pPr>
        <w:pStyle w:val="BodyText"/>
      </w:pPr>
      <w:r>
        <w:t xml:space="preserve">– максимальный размер TCP-окна 32; размер передаваемого пакета 500 байт; время</w:t>
      </w:r>
      <w:r>
        <w:t xml:space="preserve"> </w:t>
      </w:r>
      <w:r>
        <w:t xml:space="preserve">моделирования — не менее 20 единиц модельного времени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Создаем файл для разработки описанной в задании имитационной модели (рис. 1, 2).</w:t>
      </w:r>
    </w:p>
    <w:p>
      <w:pPr>
        <w:pStyle w:val="CaptionedFigure"/>
      </w:pPr>
      <w:bookmarkStart w:id="23" w:name="fig:001"/>
      <w:r>
        <w:drawing>
          <wp:inline>
            <wp:extent cx="5334000" cy="3732131"/>
            <wp:effectExtent b="0" l="0" r="0" t="0"/>
            <wp:docPr descr="Рис. 1: имитационная модель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2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имитационная модель</w:t>
      </w:r>
    </w:p>
    <w:p>
      <w:pPr>
        <w:pStyle w:val="CaptionedFigure"/>
      </w:pPr>
      <w:bookmarkStart w:id="25" w:name="fig:002"/>
      <w:r>
        <w:drawing>
          <wp:inline>
            <wp:extent cx="5334000" cy="3732131"/>
            <wp:effectExtent b="0" l="0" r="0" t="0"/>
            <wp:docPr descr="Рис. 2: имитационная модель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2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имитационная модель</w:t>
      </w:r>
    </w:p>
    <w:p>
      <w:pPr>
        <w:numPr>
          <w:ilvl w:val="0"/>
          <w:numId w:val="1003"/>
        </w:numPr>
        <w:pStyle w:val="Compact"/>
      </w:pPr>
      <w:r>
        <w:t xml:space="preserve">Запускаем скрипт и получаем на выходе схему моделируемой сети (рис. 3) и графики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, 4, 5, 6)</w:t>
      </w:r>
    </w:p>
    <w:p>
      <w:pPr>
        <w:pStyle w:val="CaptionedFigure"/>
      </w:pPr>
      <w:bookmarkStart w:id="27" w:name="fig:003"/>
      <w:r>
        <w:drawing>
          <wp:inline>
            <wp:extent cx="5334000" cy="5562927"/>
            <wp:effectExtent b="0" l="0" r="0" t="0"/>
            <wp:docPr descr="Рис. 3: схема моделируемой сет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2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схема моделируемой сети</w:t>
      </w:r>
    </w:p>
    <w:p>
      <w:pPr>
        <w:pStyle w:val="BodyText"/>
      </w:pPr>
      <w:r>
        <w:drawing>
          <wp:inline>
            <wp:extent cx="5334000" cy="5537790"/>
            <wp:effectExtent b="0" l="0" r="0" t="0"/>
            <wp:docPr descr="график изменения размера окна TCP на всех источниках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{#fig:004 width=70%}</w:t>
      </w:r>
    </w:p>
    <w:p>
      <w:pPr>
        <w:pStyle w:val="CaptionedFigure"/>
      </w:pPr>
      <w:bookmarkStart w:id="30" w:name="fig:005"/>
      <w:r>
        <w:drawing>
          <wp:inline>
            <wp:extent cx="5334000" cy="5537790"/>
            <wp:effectExtent b="0" l="0" r="0" t="0"/>
            <wp:docPr descr="Рис. 4: график изменения размера окна TCP на линке 1 источник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4: график изменения размера окна TCP на линке 1 источника</w:t>
      </w:r>
    </w:p>
    <w:p>
      <w:pPr>
        <w:pStyle w:val="CaptionedFigure"/>
      </w:pPr>
      <w:bookmarkStart w:id="32" w:name="fig:006"/>
      <w:r>
        <w:drawing>
          <wp:inline>
            <wp:extent cx="5334000" cy="5537790"/>
            <wp:effectExtent b="0" l="0" r="0" t="0"/>
            <wp:docPr descr="Рис. 5: график изменения размера средней длины очереди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5: график изменения размера средней длины очереди</w:t>
      </w:r>
    </w:p>
    <w:p>
      <w:pPr>
        <w:pStyle w:val="CaptionedFigure"/>
      </w:pPr>
      <w:bookmarkStart w:id="34" w:name="fig:007"/>
      <w:r>
        <w:drawing>
          <wp:inline>
            <wp:extent cx="5334000" cy="5537790"/>
            <wp:effectExtent b="0" l="0" r="0" t="0"/>
            <wp:docPr descr="Рис. 6: график изменения размера длины очереди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6: график изменения размера длины очереди</w:t>
      </w:r>
    </w:p>
    <w:p>
      <w:pPr>
        <w:numPr>
          <w:ilvl w:val="0"/>
          <w:numId w:val="1004"/>
        </w:numPr>
        <w:pStyle w:val="Compact"/>
      </w:pPr>
      <w:r>
        <w:t xml:space="preserve">Создаем файл для построения графиков (рис. 7, 8)</w:t>
      </w:r>
    </w:p>
    <w:p>
      <w:pPr>
        <w:pStyle w:val="CaptionedFigure"/>
      </w:pPr>
      <w:bookmarkStart w:id="36" w:name="fig:008"/>
      <w:r>
        <w:drawing>
          <wp:inline>
            <wp:extent cx="5334000" cy="3732131"/>
            <wp:effectExtent b="0" l="0" r="0" t="0"/>
            <wp:docPr descr="Рис. 7: программа для построения графиков 1/2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2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7: программа для построения графиков 1/2</w:t>
      </w:r>
    </w:p>
    <w:p>
      <w:pPr>
        <w:pStyle w:val="CaptionedFigure"/>
      </w:pPr>
      <w:bookmarkStart w:id="38" w:name="fig:009"/>
      <w:r>
        <w:drawing>
          <wp:inline>
            <wp:extent cx="5334000" cy="3732131"/>
            <wp:effectExtent b="0" l="0" r="0" t="0"/>
            <wp:docPr descr="Рис. 8: программа для построения графиков 2/2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2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8: программа для построения графиков 2/2</w:t>
      </w:r>
    </w:p>
    <w:p>
      <w:pPr>
        <w:numPr>
          <w:ilvl w:val="0"/>
          <w:numId w:val="1005"/>
        </w:numPr>
        <w:pStyle w:val="Compact"/>
      </w:pPr>
      <w:r>
        <w:t xml:space="preserve">Делаем файл исполняемым и запускаем (рис. 7)</w:t>
      </w:r>
    </w:p>
    <w:p>
      <w:pPr>
        <w:pStyle w:val="CaptionedFigure"/>
      </w:pPr>
      <w:bookmarkStart w:id="40" w:name="fig:011"/>
      <w:r>
        <w:drawing>
          <wp:inline>
            <wp:extent cx="5334000" cy="3795523"/>
            <wp:effectExtent b="0" l="0" r="0" t="0"/>
            <wp:docPr descr="Рис. 9: терминал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5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9: терминал</w:t>
      </w:r>
    </w:p>
    <w:p>
      <w:pPr>
        <w:pStyle w:val="BodyText"/>
      </w:pPr>
      <w:r>
        <w:t xml:space="preserve">Получаем следующие графики:</w:t>
      </w:r>
    </w:p>
    <w:p>
      <w:pPr>
        <w:pStyle w:val="CaptionedFigure"/>
      </w:pPr>
      <w:bookmarkStart w:id="42" w:name="fig:012"/>
      <w:r>
        <w:drawing>
          <wp:inline>
            <wp:extent cx="5334000" cy="4120116"/>
            <wp:effectExtent b="0" l="0" r="0" t="0"/>
            <wp:docPr descr="Рис. 10: изменение размера средней длины очереди на линке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0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10: изменение размера средней длины очереди на линке</w:t>
      </w:r>
    </w:p>
    <w:p>
      <w:pPr>
        <w:pStyle w:val="CaptionedFigure"/>
      </w:pPr>
      <w:bookmarkStart w:id="44" w:name="fig:013"/>
      <w:r>
        <w:drawing>
          <wp:inline>
            <wp:extent cx="5334000" cy="4120116"/>
            <wp:effectExtent b="0" l="0" r="0" t="0"/>
            <wp:docPr descr="Рис. 11: изменение размера длины очереди на линке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0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11: изменение размера длины очереди на линке</w:t>
      </w:r>
    </w:p>
    <w:p>
      <w:pPr>
        <w:pStyle w:val="CaptionedFigure"/>
      </w:pPr>
      <w:bookmarkStart w:id="46" w:name="fig:014"/>
      <w:r>
        <w:drawing>
          <wp:inline>
            <wp:extent cx="5334000" cy="4120116"/>
            <wp:effectExtent b="0" l="0" r="0" t="0"/>
            <wp:docPr descr="Рис. 12: изменение размера окна на линке 1 источника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0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12: изменение размера окна на линке 1 источника</w:t>
      </w:r>
    </w:p>
    <w:p>
      <w:pPr>
        <w:pStyle w:val="CaptionedFigure"/>
      </w:pPr>
      <w:bookmarkStart w:id="48" w:name="fig:015"/>
      <w:r>
        <w:drawing>
          <wp:inline>
            <wp:extent cx="5334000" cy="4120116"/>
            <wp:effectExtent b="0" l="0" r="0" t="0"/>
            <wp:docPr descr="Рис. 13: изменение размера окна на всех источниках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0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13: изменение размера окна на всех источниках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данной лабораторной работы, было выполнено самостоятельное задание.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Акопян Сатеник</dc:creator>
  <dc:language>ru-RU</dc:language>
  <cp:keywords/>
  <dcterms:created xsi:type="dcterms:W3CDTF">2025-02-25T16:16:27Z</dcterms:created>
  <dcterms:modified xsi:type="dcterms:W3CDTF">2025-02-25T16:16:27Z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IBM Plex Serif</vt:lpwstr>
  </property>
  <property fmtid="{D5CDD505-2E9C-101B-9397-08002B2CF9AE}" pid="47" name="mainfontoptions">
    <vt:lpwstr>Ligatures=Common,Ligatures=TeX,Scale=0.94</vt:lpwstr>
  </property>
  <property fmtid="{D5CDD505-2E9C-101B-9397-08002B2CF9AE}" pid="48" name="mathfont">
    <vt:lpwstr>STIX Two Math</vt:lpwstr>
  </property>
  <property fmtid="{D5CDD505-2E9C-101B-9397-08002B2CF9AE}" pid="49" name="mathfontoptions">
    <vt:lpwstr/>
  </property>
  <property fmtid="{D5CDD505-2E9C-101B-9397-08002B2CF9AE}" pid="50" name="monofont">
    <vt:lpwstr>IBM Plex Mono</vt:lpwstr>
  </property>
  <property fmtid="{D5CDD505-2E9C-101B-9397-08002B2CF9AE}" pid="51" name="monofontoptions">
    <vt:lpwstr>Scale=MatchLowercase,Scale=0.94,FakeStretch=0.9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IBM Plex Serif</vt:lpwstr>
  </property>
  <property fmtid="{D5CDD505-2E9C-101B-9397-08002B2CF9AE}" pid="62" name="romanfontoptions">
    <vt:lpwstr>Ligatures=Common,Ligatures=TeX,Scale=0.94</vt:lpwstr>
  </property>
  <property fmtid="{D5CDD505-2E9C-101B-9397-08002B2CF9AE}" pid="63" name="sansfont">
    <vt:lpwstr>IBM Plex Sans</vt:lpwstr>
  </property>
  <property fmtid="{D5CDD505-2E9C-101B-9397-08002B2CF9AE}" pid="64" name="sansfontoptions">
    <vt:lpwstr>Ligatures=Common,Ligatures=TeX,Scale=MatchLowercase,Scale=0.94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Задание для самостоятельного выполнения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