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6.png" ContentType="image/png"/>
  <Override PartName="/word/media/rId40.png" ContentType="image/png"/>
  <Override PartName="/word/media/rId42.png" ContentType="image/png"/>
  <Override PartName="/word/media/rId38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эпидемии</w:t>
      </w:r>
      <w:r>
        <w:t xml:space="preserve"> </w:t>
      </w:r>
      <w:r>
        <w:t xml:space="preserve">(SIR)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реализовать модель SIR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Модель SIR предложена в 1927 г. (W. O. Kermack, A. G. McKendrick).</w:t>
      </w:r>
    </w:p>
    <w:p>
      <w:pPr>
        <w:pStyle w:val="BodyText"/>
      </w:pPr>
      <w:r>
        <w:t xml:space="preserve">Предполагается, что особи популяции размера N могут находиться в трёх различ-</w:t>
      </w:r>
      <w:r>
        <w:t xml:space="preserve"> </w:t>
      </w:r>
      <w:r>
        <w:t xml:space="preserve">ных состояниях:</w:t>
      </w:r>
    </w:p>
    <w:p>
      <w:pPr>
        <w:pStyle w:val="BodyText"/>
      </w:pPr>
      <w:r>
        <w:t xml:space="preserve">– S (susceptible, уязвимые) — здоровые особи, которые находятся в группе риска</w:t>
      </w:r>
      <w:r>
        <w:t xml:space="preserve"> </w:t>
      </w:r>
      <w:r>
        <w:t xml:space="preserve">и могут подхватить инфекцию;</w:t>
      </w:r>
    </w:p>
    <w:p>
      <w:pPr>
        <w:pStyle w:val="BodyText"/>
      </w:pPr>
      <w:r>
        <w:t xml:space="preserve">– I (infective, заражённые, распространяющие заболевание) — заразившиеся пере-</w:t>
      </w:r>
      <w:r>
        <w:t xml:space="preserve"> </w:t>
      </w:r>
      <w:r>
        <w:t xml:space="preserve">носчики болезни;</w:t>
      </w:r>
    </w:p>
    <w:p>
      <w:pPr>
        <w:pStyle w:val="BodyText"/>
      </w:pPr>
      <w:r>
        <w:t xml:space="preserve">– R (recovered/removed, вылечившиеся) — те, кто выздоровел и перестал распро-</w:t>
      </w:r>
      <w:r>
        <w:t xml:space="preserve"> </w:t>
      </w:r>
      <w:r>
        <w:t xml:space="preserve">странять болезнь (в эту категорию относят, например, приобретших иммунитет</w:t>
      </w:r>
      <w:r>
        <w:t xml:space="preserve"> </w:t>
      </w:r>
      <w:r>
        <w:t xml:space="preserve">или умерших).</w:t>
      </w:r>
    </w:p>
    <w:p>
      <w:pPr>
        <w:pStyle w:val="BodyText"/>
      </w:pPr>
      <w:r>
        <w:t xml:space="preserve">Внутри каждой из выделенных групп особи считаются неразличимыми по свой-</w:t>
      </w:r>
      <w:r>
        <w:t xml:space="preserve"> </w:t>
      </w:r>
      <w:r>
        <w:t xml:space="preserve">ствам.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Реализация модели в xcos</w:t>
      </w:r>
    </w:p>
    <w:p>
      <w:pPr>
        <w:pStyle w:val="FirstParagraph"/>
      </w:pPr>
      <w:r>
        <w:t xml:space="preserve">В меню Моделирование, Задать переменные окружения зададим значения переменных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ν</m:t>
        </m:r>
      </m:oMath>
      <w:r>
        <w:t xml:space="preserve"> </w:t>
      </w:r>
      <w:r>
        <w:t xml:space="preserve">(рис. 1).</w:t>
      </w:r>
    </w:p>
    <w:p>
      <w:pPr>
        <w:pStyle w:val="CaptionedFigure"/>
      </w:pPr>
      <w:bookmarkStart w:id="23" w:name="fig:001"/>
      <w:r>
        <w:drawing>
          <wp:inline>
            <wp:extent cx="5334000" cy="4560366"/>
            <wp:effectExtent b="0" l="0" r="0" t="0"/>
            <wp:docPr descr="Рис. 1: Задаем переменные окружения в xcos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Задаем переменные окружения в xcos</w:t>
      </w:r>
    </w:p>
    <w:p>
      <w:pPr>
        <w:pStyle w:val="BodyText"/>
      </w:pPr>
      <w:r>
        <w:t xml:space="preserve">Готовая модель SIR представлена на (рис. 2)</w:t>
      </w:r>
      <w:r>
        <w:t xml:space="preserve"> </w:t>
      </w:r>
      <w:r>
        <w:t xml:space="preserve">Первое уравнение модели задано верхним блоком интегрирования, блоком</w:t>
      </w:r>
      <w:r>
        <w:t xml:space="preserve"> </w:t>
      </w:r>
      <w:r>
        <w:t xml:space="preserve">произведения и блоком задания коэффициента β. Блок произведения соединён с вы-</w:t>
      </w:r>
      <w:r>
        <w:t xml:space="preserve"> </w:t>
      </w:r>
      <w:r>
        <w:t xml:space="preserve">ходами верхнего и среднего блоков интегрирования и блоком коэффициента β, что</w:t>
      </w:r>
      <w:r>
        <w:t xml:space="preserve"> </w:t>
      </w:r>
      <w:r>
        <w:t xml:space="preserve">реализует математическую конструкцию s(t)i(t)β.</w:t>
      </w:r>
    </w:p>
    <w:p>
      <w:pPr>
        <w:pStyle w:val="BodyText"/>
      </w:pPr>
      <w:r>
        <w:t xml:space="preserve">Третье уравнение модели задано нижним блоком интегрирования и блоком</w:t>
      </w:r>
      <w:r>
        <w:t xml:space="preserve"> </w:t>
      </w:r>
      <w:r>
        <w:t xml:space="preserve">задания коэффициента ν. Для реализации математической конструкции νi(t) соеди-</w:t>
      </w:r>
      <w:r>
        <w:t xml:space="preserve"> </w:t>
      </w:r>
      <w:r>
        <w:t xml:space="preserve">няем выход среднего блока интегрирования и вход блока задания коэффициента ν,</w:t>
      </w:r>
      <w:r>
        <w:t xml:space="preserve"> </w:t>
      </w:r>
      <w:r>
        <w:t xml:space="preserve">а результат передаём на вход нижнего блока интегрирования.</w:t>
      </w:r>
      <w:r>
        <w:t xml:space="preserve"> </w:t>
      </w:r>
      <w:r>
        <w:t xml:space="preserve">Средний блок интегрирования и блок суммирования определяют второе уравне-</w:t>
      </w:r>
      <w:r>
        <w:t xml:space="preserve"> </w:t>
      </w:r>
      <w:r>
        <w:t xml:space="preserve">ние модели, которое по сути является суммой правых частей первого и третьего уравнений. Для реализации соединяем входы верхнего и нижнего блоков интегрирования с входами блока суммирования, меняя при этом в его параметрах оба знака на минус. Выход блока суммирования соединяем с входом среднего блока интегрирования.</w:t>
      </w:r>
    </w:p>
    <w:p>
      <w:pPr>
        <w:pStyle w:val="CaptionedFigure"/>
      </w:pPr>
      <w:bookmarkStart w:id="25" w:name="fig:002"/>
      <w:r>
        <w:drawing>
          <wp:inline>
            <wp:extent cx="5334000" cy="4350636"/>
            <wp:effectExtent b="0" l="0" r="0" t="0"/>
            <wp:docPr descr="Рис. 2: Модель SIR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Модель SIR</w:t>
      </w:r>
    </w:p>
    <w:p>
      <w:pPr>
        <w:pStyle w:val="BodyText"/>
      </w:pPr>
      <w:r>
        <w:t xml:space="preserve">Меняем количество выходов мультиплексора до 3 (рис. 3)</w:t>
      </w:r>
    </w:p>
    <w:p>
      <w:pPr>
        <w:pStyle w:val="CaptionedFigure"/>
      </w:pPr>
      <w:bookmarkStart w:id="27" w:name="fig:003"/>
      <w:r>
        <w:drawing>
          <wp:inline>
            <wp:extent cx="5139890" cy="1703671"/>
            <wp:effectExtent b="0" l="0" r="0" t="0"/>
            <wp:docPr descr="Рис. 3: Установить параметры блока мультиплексор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1703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Установить параметры блока мультиплексора</w:t>
      </w:r>
    </w:p>
    <w:p>
      <w:pPr>
        <w:pStyle w:val="BodyText"/>
      </w:pPr>
      <w:r>
        <w:t xml:space="preserve">Выходы трёх блоков интегрирования соединяем с мультиплексором.</w:t>
      </w:r>
      <w:r>
        <w:t xml:space="preserve"> </w:t>
      </w:r>
      <w:r>
        <w:t xml:space="preserve">В параметрах верхнего и среднего блока интегрирования необходимо задать</w:t>
      </w:r>
      <w:r>
        <w:t xml:space="preserve"> </w:t>
      </w:r>
      <w:r>
        <w:t xml:space="preserve">начальные значения</w:t>
      </w:r>
      <w:r>
        <w:t xml:space="preserve"> </w:t>
      </w:r>
      <m:oMath>
        <m:r>
          <m:t>s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</w:t>
      </w:r>
      <w:r>
        <w:t xml:space="preserve"> </w:t>
      </w:r>
      <m:oMath>
        <m:r>
          <m:t>0.999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i</m:t>
        </m:r>
        <m:d>
          <m:dPr>
            <m:begChr m:val="("/>
            <m:endChr m:val=")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0.001</m:t>
        </m:r>
      </m:oMath>
      <w:r>
        <w:t xml:space="preserve"> </w:t>
      </w:r>
      <w:r>
        <w:t xml:space="preserve">(рис. 5, 6)</w:t>
      </w:r>
    </w:p>
    <w:p>
      <w:pPr>
        <w:pStyle w:val="CaptionedFigure"/>
      </w:pPr>
      <w:bookmarkStart w:id="29" w:name="fig:004"/>
      <w:r>
        <w:drawing>
          <wp:inline>
            <wp:extent cx="5005136" cy="2165684"/>
            <wp:effectExtent b="0" l="0" r="0" t="0"/>
            <wp:docPr descr="Рис. 4: Установить параметры блока сумм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36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Установить параметры блока сумматора</w:t>
      </w:r>
    </w:p>
    <w:p>
      <w:pPr>
        <w:pStyle w:val="CaptionedFigure"/>
      </w:pPr>
      <w:bookmarkStart w:id="31" w:name="fig:005"/>
      <w:r>
        <w:drawing>
          <wp:inline>
            <wp:extent cx="3898231" cy="2800951"/>
            <wp:effectExtent b="0" l="0" r="0" t="0"/>
            <wp:docPr descr="Рис. 5: Задать начальные значения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31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Задать начальные значения в блоках интегрирования</w:t>
      </w:r>
    </w:p>
    <w:p>
      <w:pPr>
        <w:pStyle w:val="CaptionedFigure"/>
      </w:pPr>
      <w:bookmarkStart w:id="33" w:name="fig:006"/>
      <w:r>
        <w:drawing>
          <wp:inline>
            <wp:extent cx="4023360" cy="2849077"/>
            <wp:effectExtent b="0" l="0" r="0" t="0"/>
            <wp:docPr descr="Рис. 6: Задать начальные значения в блоках интегрирования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84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Задать начальные значения в блоках интегрирования</w:t>
      </w:r>
    </w:p>
    <w:p>
      <w:pPr>
        <w:pStyle w:val="BodyText"/>
      </w:pPr>
      <w:r>
        <w:t xml:space="preserve">В меню Моделирование, Установка необходимо задать конечное время интегри-</w:t>
      </w:r>
      <w:r>
        <w:t xml:space="preserve"> </w:t>
      </w:r>
      <w:r>
        <w:t xml:space="preserve">рования, равным времени моделирования (в данном случае 30)</w:t>
      </w:r>
    </w:p>
    <w:p>
      <w:pPr>
        <w:pStyle w:val="CaptionedFigure"/>
      </w:pPr>
      <w:bookmarkStart w:id="35" w:name="fig:007"/>
      <w:r>
        <w:drawing>
          <wp:inline>
            <wp:extent cx="5334000" cy="2508877"/>
            <wp:effectExtent b="0" l="0" r="0" t="0"/>
            <wp:docPr descr="Рис. 7: Задать конечное время интегрирования в xcos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Задать конечное время интегрирования в xcos</w:t>
      </w:r>
    </w:p>
    <w:p>
      <w:pPr>
        <w:pStyle w:val="CaptionedFigure"/>
      </w:pPr>
      <w:bookmarkStart w:id="37" w:name="fig:008"/>
      <w:r>
        <w:drawing>
          <wp:inline>
            <wp:extent cx="5334000" cy="3531475"/>
            <wp:effectExtent b="0" l="0" r="0" t="0"/>
            <wp:docPr descr="Рис. 8: Эпидемический порог модели S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Эпидемический порог модели SIR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Реализация модели с помощью блока Modelica в xcos</w:t>
      </w:r>
    </w:p>
    <w:p>
      <w:pPr>
        <w:pStyle w:val="FirstParagraph"/>
      </w:pPr>
      <w:r>
        <w:t xml:space="preserve">Готовая модель SIR представлена на (рис. 9)</w:t>
      </w:r>
    </w:p>
    <w:p>
      <w:pPr>
        <w:pStyle w:val="BodyText"/>
      </w:pPr>
      <w:r>
        <w:t xml:space="preserve">Для реализации модели с помощью языка Modelica помимо блоков CLOCK_c,</w:t>
      </w:r>
      <w:r>
        <w:t xml:space="preserve"> </w:t>
      </w:r>
      <w:r>
        <w:t xml:space="preserve">CSCOPE, TEXT_f и MUX требуются блоки CONST_m — задаёт константу; MBLOCK</w:t>
      </w:r>
      <w:r>
        <w:t xml:space="preserve"> </w:t>
      </w:r>
      <w:r>
        <w:t xml:space="preserve">(Modelica generic) — блок реализации кода на языке Modelica.</w:t>
      </w:r>
    </w:p>
    <w:p>
      <w:pPr>
        <w:pStyle w:val="CaptionedFigure"/>
      </w:pPr>
      <w:bookmarkStart w:id="39" w:name="fig:009"/>
      <w:r>
        <w:drawing>
          <wp:inline>
            <wp:extent cx="5334000" cy="4360855"/>
            <wp:effectExtent b="0" l="0" r="0" t="0"/>
            <wp:docPr descr="Рис. 9: Модель SIR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60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Модель SIR</w:t>
      </w:r>
    </w:p>
    <w:p>
      <w:pPr>
        <w:pStyle w:val="BodyText"/>
      </w:pPr>
      <w:r>
        <w:t xml:space="preserve">Параметры блока Modelica представлены на (рис. 10, 11). Переменные на входе (</w:t>
      </w:r>
      <w:r>
        <w:t xml:space="preserve">“</w:t>
      </w:r>
      <w:r>
        <w:t xml:space="preserve">beta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nu</w:t>
      </w:r>
      <w:r>
        <w:t xml:space="preserve">”</w:t>
      </w:r>
      <w:r>
        <w:t xml:space="preserve">) и выходе (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) блока заданы как внешние (</w:t>
      </w:r>
      <w:r>
        <w:t xml:space="preserve">“</w:t>
      </w:r>
      <w:r>
        <w:t xml:space="preserve">E</w:t>
      </w:r>
      <w:r>
        <w:t xml:space="preserve">”</w:t>
      </w:r>
      <w:r>
        <w:t xml:space="preserve">).</w:t>
      </w:r>
    </w:p>
    <w:p>
      <w:pPr>
        <w:pStyle w:val="CaptionedFigure"/>
      </w:pPr>
      <w:bookmarkStart w:id="41" w:name="fig:010"/>
      <w:r>
        <w:drawing>
          <wp:inline>
            <wp:extent cx="3532471" cy="3561347"/>
            <wp:effectExtent b="0" l="0" r="0" t="0"/>
            <wp:docPr descr="Рис. 10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2471" cy="3561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Параметры блока Modelica для модели SIR</w:t>
      </w:r>
    </w:p>
    <w:p>
      <w:pPr>
        <w:pStyle w:val="CaptionedFigure"/>
      </w:pPr>
      <w:bookmarkStart w:id="43" w:name="fig:011"/>
      <w:r>
        <w:drawing>
          <wp:inline>
            <wp:extent cx="3811604" cy="3272589"/>
            <wp:effectExtent b="0" l="0" r="0" t="0"/>
            <wp:docPr descr="Рис. 11: Параметры блока Modelica для модели SIR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604" cy="327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11: Параметры блока Modelica для модели SIR</w:t>
      </w:r>
    </w:p>
    <w:p>
      <w:pPr>
        <w:pStyle w:val="BodyText"/>
      </w:pPr>
      <w:r>
        <w:t xml:space="preserve">Результат моделирования совпал с результатом при реализации модели с помощью блоков интегрирования</w:t>
      </w:r>
    </w:p>
    <w:p>
      <w:pPr>
        <w:pStyle w:val="CaptionedFigure"/>
      </w:pPr>
      <w:bookmarkStart w:id="44" w:name="fig:012"/>
      <w:r>
        <w:drawing>
          <wp:inline>
            <wp:extent cx="5334000" cy="3531475"/>
            <wp:effectExtent b="0" l="0" r="0" t="0"/>
            <wp:docPr descr="Рис. 12: Эпидемический порог модели SIR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12: Эпидемический порог модели SIR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была реализована модель SIR.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38" Target="media/rId38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Акопян Сатеник</dc:creator>
  <dc:language>ru-RU</dc:language>
  <cp:keywords/>
  <dcterms:created xsi:type="dcterms:W3CDTF">2025-03-07T12:40:56Z</dcterms:created>
  <dcterms:modified xsi:type="dcterms:W3CDTF">2025-03-07T12:40:56Z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Модель эпидемии (SIR)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