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реализация модели «хищник–жертва» в xcos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</w:t>
      </w:r>
    </w:p>
    <w:p>
      <w:pPr>
        <w:pStyle w:val="CaptionedFigure"/>
      </w:pPr>
      <w:r>
        <w:drawing>
          <wp:inline>
            <wp:extent cx="4330700" cy="1231900"/>
            <wp:effectExtent b="0" l="0" r="0" t="0"/>
            <wp:docPr descr="«хищник–жертва»" title="" id="1" name="Picture"/>
            <a:graphic>
              <a:graphicData uri="http://schemas.openxmlformats.org/drawingml/2006/picture">
                <pic:pic>
                  <pic:nvPicPr>
                    <pic:cNvPr descr="image/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«хищник–жертва»</w:t>
      </w:r>
    </w:p>
    <w:p>
      <w:pPr>
        <w:pStyle w:val="BodyText"/>
      </w:pPr>
      <w:r>
        <w:t xml:space="preserve">где x — количество жертв; y — количество хищников; a, b, c, d — коэффициен-</w:t>
      </w:r>
      <w:r>
        <w:t xml:space="preserve"> </w:t>
      </w:r>
      <w:r>
        <w:t xml:space="preserve">ты, отражающие взаимодействия между видами: a — коэффициент рождаемости</w:t>
      </w:r>
      <w:r>
        <w:t xml:space="preserve"> </w:t>
      </w:r>
      <w:r>
        <w:t xml:space="preserve">жертв; b — коэффициент убыли жертв; c — коэффициент рождения хищников; d —</w:t>
      </w:r>
      <w:r>
        <w:t xml:space="preserve"> </w:t>
      </w:r>
      <w:r>
        <w:t xml:space="preserve">коэффициент убыли хищников.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Реализация модели в xcos</w:t>
      </w:r>
    </w:p>
    <w:p>
      <w:pPr>
        <w:pStyle w:val="FirstParagraph"/>
      </w:pPr>
      <w:r>
        <w:t xml:space="preserve">1.2 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коэф-</w:t>
      </w:r>
      <w:r>
        <w:t xml:space="preserve"> </w:t>
      </w:r>
      <w:r>
        <w:t xml:space="preserve">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5334000" cy="3559766"/>
            <wp:effectExtent b="0" l="0" r="0" t="0"/>
            <wp:docPr descr="Рис. 1: Задать переменные окружения в xcos для модел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Задать переменные окружения в xcos для модели</w:t>
      </w:r>
    </w:p>
    <w:p>
      <w:pPr>
        <w:pStyle w:val="BodyText"/>
      </w:pPr>
      <w:r>
        <w:t xml:space="preserve">1.3 Для реализации модели (6.1) в дополнение к блокам $CLOCK_c, CSCOPE, TEXT_f,</w:t>
      </w:r>
      <w:r>
        <w:t xml:space="preserve"> </w:t>
      </w:r>
      <w:r>
        <w:t xml:space="preserve">MUX, INTEGRAL_m, GAINBLK_f, SUMMATION, PROD_f $ потребуется блок $ CSCOPXY $—</w:t>
      </w:r>
      <w:r>
        <w:t xml:space="preserve"> </w:t>
      </w:r>
      <w:r>
        <w:t xml:space="preserve">регистрирующее устройство для построения фазового портрета. (рис. 2)</w:t>
      </w:r>
    </w:p>
    <w:p>
      <w:pPr>
        <w:pStyle w:val="CaptionedFigure"/>
      </w:pPr>
      <w:bookmarkStart w:id="26" w:name="fig:002"/>
      <w:r>
        <w:drawing>
          <wp:inline>
            <wp:extent cx="5334000" cy="4547384"/>
            <wp:effectExtent b="0" l="0" r="0" t="0"/>
            <wp:docPr descr="Рис. 2: Модель «хищник–жертва» в xco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1.4 В параметрах блоков интегрирования необходимо задать начальные значения</w:t>
      </w:r>
      <w:r>
        <w:t xml:space="preserve"> </w:t>
      </w:r>
      <w:r>
        <w:t xml:space="preserve">$ x(0) = 2, y(0) = 1$ (рис. 3, 4)</w:t>
      </w:r>
    </w:p>
    <w:p>
      <w:pPr>
        <w:pStyle w:val="CaptionedFigure"/>
      </w:pPr>
      <w:bookmarkStart w:id="28" w:name="fig:003"/>
      <w:r>
        <w:drawing>
          <wp:inline>
            <wp:extent cx="5334000" cy="3602018"/>
            <wp:effectExtent b="0" l="0" r="0" t="0"/>
            <wp:docPr descr="Рис. 3: Задать начальные значения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Задать начальные значения в блоках интегрирования</w:t>
      </w:r>
    </w:p>
    <w:p>
      <w:pPr>
        <w:pStyle w:val="CaptionedFigure"/>
      </w:pPr>
      <w:bookmarkStart w:id="30" w:name="fig:004"/>
      <w:r>
        <w:drawing>
          <wp:inline>
            <wp:extent cx="5334000" cy="3602018"/>
            <wp:effectExtent b="0" l="0" r="0" t="0"/>
            <wp:docPr descr="Рис. 4: Задать начальные значения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Задать начальные значения в блоках интегрирования</w:t>
      </w:r>
    </w:p>
    <w:p>
      <w:pPr>
        <w:pStyle w:val="BodyText"/>
      </w:pPr>
      <w:r>
        <w:t xml:space="preserve">Результат моделирования представлен на (рис. 5)</w:t>
      </w:r>
    </w:p>
    <w:p>
      <w:pPr>
        <w:pStyle w:val="CaptionedFigure"/>
      </w:pPr>
      <w:bookmarkStart w:id="32" w:name="fig:005"/>
      <w:r>
        <w:drawing>
          <wp:inline>
            <wp:extent cx="5334000" cy="5046382"/>
            <wp:effectExtent b="0" l="0" r="0" t="0"/>
            <wp:docPr descr="Рис. 5: Результат моделирован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Результат моделирования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Рис. 6: Результат моделирован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Результат моделирования</w:t>
      </w:r>
    </w:p>
    <w:p>
      <w:pPr>
        <w:numPr>
          <w:ilvl w:val="0"/>
          <w:numId w:val="1002"/>
        </w:numPr>
        <w:pStyle w:val="Compact"/>
      </w:pP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 xcos: CLOCK_c, CSCOPE, CSCOPXY, TEXT_f, MUX, CONST_m и MBLOCK (Modelica</w:t>
      </w:r>
      <w:r>
        <w:t xml:space="preserve"> </w:t>
      </w:r>
      <w:r>
        <w:t xml:space="preserve">generic).</w:t>
      </w:r>
    </w:p>
    <w:p>
      <w:pPr>
        <w:pStyle w:val="BodyText"/>
      </w:pPr>
      <w:r>
        <w:t xml:space="preserve">Как и ранее, задаём значения коэффициентов a, b, c, d</w:t>
      </w:r>
    </w:p>
    <w:p>
      <w:pPr>
        <w:pStyle w:val="BodyText"/>
      </w:pPr>
      <w:r>
        <w:t xml:space="preserve">Параметры блока Modelica представлены на (рис. 7, 8)</w:t>
      </w:r>
    </w:p>
    <w:p>
      <w:pPr>
        <w:pStyle w:val="CaptionedFigure"/>
      </w:pPr>
      <w:bookmarkStart w:id="36" w:name="fig:007"/>
      <w:r>
        <w:drawing>
          <wp:inline>
            <wp:extent cx="4826000" cy="4483100"/>
            <wp:effectExtent b="0" l="0" r="0" t="0"/>
            <wp:docPr descr="Рис. 7: Параметры блока Modelica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Параметры блока Modelica</w:t>
      </w:r>
    </w:p>
    <w:p>
      <w:pPr>
        <w:pStyle w:val="CaptionedFigure"/>
      </w:pPr>
      <w:bookmarkStart w:id="38" w:name="fig:008"/>
      <w:r>
        <w:drawing>
          <wp:inline>
            <wp:extent cx="4940300" cy="4559300"/>
            <wp:effectExtent b="0" l="0" r="0" t="0"/>
            <wp:docPr descr="Рис. 8: Параметры блока Modelica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Параметры блока Modelica</w:t>
      </w:r>
    </w:p>
    <w:p>
      <w:pPr>
        <w:pStyle w:val="BodyText"/>
      </w:pPr>
      <w:r>
        <w:t xml:space="preserve">Готовая модель «хищник–жертва» представлена на (рис. 9)</w:t>
      </w:r>
    </w:p>
    <w:p>
      <w:pPr>
        <w:pStyle w:val="CaptionedFigure"/>
      </w:pPr>
      <w:bookmarkStart w:id="40" w:name="fig:009"/>
      <w:r>
        <w:drawing>
          <wp:inline>
            <wp:extent cx="5334000" cy="4547384"/>
            <wp:effectExtent b="0" l="0" r="0" t="0"/>
            <wp:docPr descr="Рис. 9: Готовая модель «хищник–жертва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Готовая модель «хищник–жертва»</w:t>
      </w:r>
    </w:p>
    <w:p>
      <w:pPr>
        <w:pStyle w:val="BodyText"/>
      </w:pPr>
      <w:r>
        <w:t xml:space="preserve">Результаты моделирования представлены на (рис. 10, 11)</w:t>
      </w:r>
    </w:p>
    <w:p>
      <w:pPr>
        <w:pStyle w:val="CaptionedFigure"/>
      </w:pPr>
      <w:bookmarkStart w:id="42" w:name="fig:010"/>
      <w:r>
        <w:drawing>
          <wp:inline>
            <wp:extent cx="5334000" cy="3556000"/>
            <wp:effectExtent b="0" l="0" r="0" t="0"/>
            <wp:docPr descr="Рис. 10: Результаты моделирован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Результаты моделирования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Рис. 11: Результаты моделирова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Результаты моделирования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была реализована модель «хищник–жертва» в xcos.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6.</dc:title>
  <dc:creator>Акопян Сатеник</dc:creator>
  <dc:language>ru-RU</dc:language>
  <cp:keywords/>
  <dcterms:created xsi:type="dcterms:W3CDTF">2025-03-14T23:49:36Z</dcterms:created>
  <dcterms:modified xsi:type="dcterms:W3CDTF">2025-03-14T23:49:36Z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Модель «хищник–жертва»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