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</w:p>
    <w:p>
      <w:pPr>
        <w:pStyle w:val="Author"/>
      </w:pPr>
      <w:r>
        <w:t xml:space="preserve">Акопян</w:t>
      </w:r>
      <w:r>
        <w:t xml:space="preserve"> </w:t>
      </w:r>
      <w:r>
        <w:t xml:space="preserve">Сатеник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Смоделировать в xcos системы массового обслуживания типа M |M |1|∞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μ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35</m:t>
        </m:r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Суперблок, моделирующий поступление заявок, представлен на (рис. 1).</w:t>
      </w:r>
    </w:p>
    <w:p>
      <w:pPr>
        <w:pStyle w:val="CaptionedFigure"/>
      </w:pPr>
      <w:bookmarkStart w:id="22" w:name="fig:001"/>
      <w:r>
        <w:drawing>
          <wp:inline>
            <wp:extent cx="5334000" cy="4445000"/>
            <wp:effectExtent b="0" l="0" r="0" t="0"/>
            <wp:docPr descr="Рис. 1: Суперблок, моделирующий поступление заявок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Суперблок, моделирующий поступление заявок</w:t>
      </w:r>
    </w:p>
    <w:p>
      <w:pPr>
        <w:pStyle w:val="BodyText"/>
      </w:pPr>
      <w:r>
        <w:t xml:space="preserve">Суперблок, моделирующий процесс обработки заявок, представлен на (рис. 2).</w:t>
      </w:r>
    </w:p>
    <w:p>
      <w:pPr>
        <w:pStyle w:val="CaptionedFigure"/>
      </w:pPr>
      <w:bookmarkStart w:id="24" w:name="fig:002"/>
      <w:r>
        <w:drawing>
          <wp:inline>
            <wp:extent cx="5334000" cy="4955649"/>
            <wp:effectExtent b="0" l="0" r="0" t="0"/>
            <wp:docPr descr="Рис. 2: Суперблок, моделирующий обработку заявок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5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Суперблок, моделирующий обработку заявок</w:t>
      </w:r>
    </w:p>
    <w:p>
      <w:pPr>
        <w:pStyle w:val="BodyText"/>
      </w:pPr>
      <w:r>
        <w:t xml:space="preserve">Готовая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представлена на (рис. 3).</w:t>
      </w:r>
    </w:p>
    <w:p>
      <w:pPr>
        <w:pStyle w:val="CaptionedFigure"/>
      </w:pPr>
      <w:bookmarkStart w:id="26" w:name="fig:003"/>
      <w:r>
        <w:drawing>
          <wp:inline>
            <wp:extent cx="5334000" cy="4457087"/>
            <wp:effectExtent b="0" l="0" r="0" t="0"/>
            <wp:docPr descr="Рис. 3: Модель M |M |1|∞ в xcos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7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в xcos</w:t>
      </w:r>
    </w:p>
    <w:p>
      <w:pPr>
        <w:pStyle w:val="BodyText"/>
      </w:pPr>
      <w:r>
        <w:t xml:space="preserve">Результат моделирования представлен на (рис. 4, 5).</w:t>
      </w:r>
    </w:p>
    <w:p>
      <w:pPr>
        <w:pStyle w:val="CaptionedFigure"/>
      </w:pPr>
      <w:bookmarkStart w:id="28" w:name="fig:004"/>
      <w:r>
        <w:drawing>
          <wp:inline>
            <wp:extent cx="5334000" cy="5046382"/>
            <wp:effectExtent b="0" l="0" r="0" t="0"/>
            <wp:docPr descr="Рис. 4: Поступление и обработка заявок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6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Поступление и обработка заявок</w:t>
      </w:r>
    </w:p>
    <w:p>
      <w:pPr>
        <w:pStyle w:val="CaptionedFigure"/>
      </w:pPr>
      <w:bookmarkStart w:id="30" w:name="fig:005"/>
      <w:r>
        <w:drawing>
          <wp:inline>
            <wp:extent cx="5334000" cy="3556000"/>
            <wp:effectExtent b="0" l="0" r="0" t="0"/>
            <wp:docPr descr="Рис. 5: Динамика размера очеред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Динамика размера очереди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 была смоделирована модель 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в xcos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Акопян Сатеник</dc:creator>
  <dc:language>ru-RU</dc:language>
  <cp:keywords/>
  <dcterms:created xsi:type="dcterms:W3CDTF">2025-03-18T15:29:41Z</dcterms:created>
  <dcterms:modified xsi:type="dcterms:W3CDTF">2025-03-18T15:29:41Z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Модель M |M |1|∞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