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600" w:before="480" w:line="360" w:lineRule="auto"/>
        <w:ind w:left="660" w:right="660" w:firstLine="0"/>
        <w:rPr>
          <w:rFonts w:ascii="Arvo" w:cs="Arvo" w:eastAsia="Arvo" w:hAnsi="Arvo"/>
          <w:b w:val="1"/>
          <w:color w:val="0f1115"/>
          <w:sz w:val="30"/>
          <w:szCs w:val="30"/>
        </w:rPr>
      </w:pPr>
      <w:bookmarkStart w:colFirst="0" w:colLast="0" w:name="_wttihrqjf90f" w:id="0"/>
      <w:bookmarkEnd w:id="0"/>
      <w:r w:rsidDel="00000000" w:rsidR="00000000" w:rsidRPr="00000000">
        <w:rPr>
          <w:rFonts w:ascii="Arial" w:cs="Arial" w:eastAsia="Arial" w:hAnsi="Arial"/>
          <w:b w:val="1"/>
          <w:color w:val="0f1115"/>
          <w:sz w:val="30"/>
          <w:szCs w:val="30"/>
          <w:rtl w:val="0"/>
        </w:rPr>
        <w:t xml:space="preserve">Exercise 02 — Описание вариантов использования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Lora" w:cs="Lora" w:eastAsia="Lora" w:hAnsi="Lora"/>
          <w:color w:val="0f1115"/>
          <w:shd w:fill="ebeef2" w:val="clear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Продукт: Система онлайн-записи для барбершопов (Barbershop Online Booking System)</w:t>
        <w:br w:type="textWrapping"/>
        <w:t xml:space="preserve">Префикс продукта: BRB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ora" w:cs="Lora" w:eastAsia="Lora" w:hAnsi="Lora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600" w:before="240" w:line="420" w:lineRule="auto"/>
        <w:ind w:left="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Use Case 1: Записаться на услугу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2.143101677508"/>
        <w:gridCol w:w="4883.368709346115"/>
        <w:tblGridChange w:id="0">
          <w:tblGrid>
            <w:gridCol w:w="4142.143101677508"/>
            <w:gridCol w:w="4883.36870934611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Элемент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Уникальный 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BRB_UC_101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Записаться на услугу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Основное 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Клиент. Инициатор взаимодействия, который получает непосредственную ценность - бронирование удобного времени для получения услуги.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Обеспечить клиенту возможность самостоятельного выбора и бронирования услуги, мастера и времени посещения без необходимости телефонного звонка или личного визита.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Роль и интерес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Актор: Клиент (зарегистрированный или незарегистрированный).</w:t>
            </w:r>
          </w:p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Интерес: Быстро, в любое время найти и забронировать подходящую услугу у нужного мастера на удобное время.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Другие заинтересованные стороны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1. Мастер: Заинтересован в том, чтобы его расписание было заполнено.</w:t>
            </w:r>
          </w:p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2. Менеджер: Заинтересован в автоматизации процесса записи и сокращении ручного труда.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Область 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Публичный интерфейс системы онлайн-записи. Уровень "черный ящик".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1. В системе имеются активные мастера с настроенным расписанием и услугами.</w:t>
            </w:r>
          </w:p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2. В системе есть свободные слоты для записи.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Клиент заходит на сайт барбершопа и нажимает кнопку "Онлайн-запись".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Постусловия</w:t>
            </w:r>
          </w:p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(Минимальные гарантии)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1. Попытка записи зафиксирована в системе.</w:t>
            </w:r>
          </w:p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2. Клиент получил уведомление о результате операции (успех/неудача).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Постусловия</w:t>
            </w:r>
          </w:p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(Гарантии успеха)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1. Выбранный временной слот помечен как занятый для данного мастера.</w:t>
            </w:r>
          </w:p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2. В системе создана новая запись на услугу.</w:t>
            </w:r>
          </w:p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3. Клиенту отправлено подтверждение записи с деталями визита.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hd w:fill="ffffff" w:val="clear"/>
        <w:spacing w:after="36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after="600" w:before="480" w:line="36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b475gcndlpzx" w:id="1"/>
      <w:bookmarkEnd w:id="1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Use Case 2: Выбрать услугу и мастера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2.143101677508"/>
        <w:gridCol w:w="4883.368709346115"/>
        <w:tblGridChange w:id="0">
          <w:tblGrid>
            <w:gridCol w:w="4142.143101677508"/>
            <w:gridCol w:w="4883.36870934611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Элемент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Уникальный 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BRB_UC_102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Выбрать услугу и мастера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Тип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Включение в UC-101 (include)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Основное 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Определиться с конкретной услугой и исполнителем перед выбором времени визита.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Роль и интерес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Актор: Клиент.</w:t>
            </w:r>
          </w:p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Интерес: Получить актуальный перечень доступных услуг и мастеров, способных их оказать, чтобы сделать осознанный выбор.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Другие заинтересованные стороны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Менеджер (заинтересован в корректном отображении услуг и мастеров).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Область 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Публичный интерфейс системы онлайн-записи.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В системе есть активные мастера и услуги.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Начало процесса онлайн-записи (первый шаг UC-101).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Постусловия</w:t>
            </w:r>
          </w:p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(Минимальные гарантии)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Клиент просмотрел доступные варианты.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Постусловия</w:t>
            </w:r>
          </w:p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(Гарантии успеха)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Клиент определился с услугой и мастером, система готова перейти к выбору времени.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36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hd w:fill="ffffff" w:val="clear"/>
        <w:spacing w:after="600" w:before="480" w:line="36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5lhh24kxn4bu" w:id="2"/>
      <w:bookmarkEnd w:id="2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Use Case 3: Выбрать время записи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2.143101677508"/>
        <w:gridCol w:w="4883.368709346115"/>
        <w:tblGridChange w:id="0">
          <w:tblGrid>
            <w:gridCol w:w="4142.143101677508"/>
            <w:gridCol w:w="4883.36870934611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Элемент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Уникальный 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BRB_UC_103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Выбрать время записи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Тип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Включение в UC-101 (include)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Основное 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Забронировать конкретный свободный временной слот у выбранного мастера.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Роль и интерес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Актор: Клиент.</w:t>
            </w:r>
          </w:p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Интерес: Увидеть все реально доступные даты и время и надежно забронировать выбранный слот.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Другие заинтересованные стороны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1. Мастер: Заинтересован в корректном отображении своего реального расписания.</w:t>
            </w:r>
          </w:p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2. Менеджер: Заинтересован в отсутствии двойного бронирования.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Область 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Публичный интерфейс системы онлайн-записи.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Клиент выбрал услугу и мастера (успешное завершение UC-102).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Система готова показать доступное расписание после выбора мастера и услуги.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Постусловия</w:t>
            </w:r>
          </w:p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(Минимальные гарантии)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Клиент просмотрел доступное расписание.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Постусловия</w:t>
            </w:r>
          </w:p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(Гарантии успеха)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Временной слот временно забронирован за клиентом на этапе оформления записи.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hd w:fill="ffffff" w:val="clear"/>
        <w:spacing w:after="36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hd w:fill="ffffff" w:val="clear"/>
        <w:spacing w:after="600" w:before="480" w:line="36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pyxhl5uhmxjj" w:id="3"/>
      <w:bookmarkEnd w:id="3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Use Case 4: Зарегистрироваться в системе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2.143101677508"/>
        <w:gridCol w:w="4883.368709346115"/>
        <w:tblGridChange w:id="0">
          <w:tblGrid>
            <w:gridCol w:w="4142.143101677508"/>
            <w:gridCol w:w="4883.36870934611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Элемент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Уникальный 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BRB_UC_104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Зарегистрироваться в системе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Тип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Расширение UC-101 (extend)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Основное 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Создать учетную запись в системе для получения постоянного доступа к истории записей и упрощения последующих бронирований.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Роль и интерес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Актор: Незарегистрированный клиент.</w:t>
            </w:r>
          </w:p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Интерес: Упростить процесс будущих записей, иметь доступ к истории посещений и получать персональные предложения.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Другие заинтересованные стороны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Менеджер: Заинтересован в сборе клиентской базы для маркетинга и повышения лояльности.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Область 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Публичный интерфейс системы онлайн-записи.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Отсутствует.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Незарегистрированный клиент в процессе записи (UC-101) решает создать учетную запись.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Постусловия</w:t>
            </w:r>
          </w:p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(Минимальные гарантии)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Попытка регистрации зафиксирована.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Постусловия</w:t>
            </w:r>
          </w:p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(Гарантии успеха)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В системе создана новая учетная запись клиента, клиент автоматически авторизован и может продолжить запись.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hd w:fill="ffffff" w:val="clear"/>
        <w:spacing w:after="600" w:before="24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600" w:before="24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Пояснения к связям: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Включение (include): UC-102 и UC-103 являются обязательными частями основного UC-101. Без выбора услуги, мастера и времени процесс записи не может быть завершен. Это функциональность, которая всегда выполняется в рамках основного Use Case.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36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Расширение (extend): UC-104 является опциональным расширением основного UC-101. Запись может быть совершена и без регистрации (гостевая запись). Процесс записи </w:t>
      </w:r>
      <w:r w:rsidDel="00000000" w:rsidR="00000000" w:rsidRPr="00000000">
        <w:rPr>
          <w:rFonts w:ascii="Lora" w:cs="Lora" w:eastAsia="Lora" w:hAnsi="Lora"/>
          <w:i w:val="1"/>
          <w:color w:val="0f1115"/>
          <w:rtl w:val="0"/>
        </w:rPr>
        <w:t xml:space="preserve">может быть расширен</w:t>
      </w: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 шагом регистрации только по инициативе клиента.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v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Lora-italic.ttf"/><Relationship Id="rId10" Type="http://schemas.openxmlformats.org/officeDocument/2006/relationships/font" Target="fonts/Lora-bold.ttf"/><Relationship Id="rId12" Type="http://schemas.openxmlformats.org/officeDocument/2006/relationships/font" Target="fonts/Lora-boldItalic.ttf"/><Relationship Id="rId9" Type="http://schemas.openxmlformats.org/officeDocument/2006/relationships/font" Target="fonts/Lora-regular.ttf"/><Relationship Id="rId5" Type="http://schemas.openxmlformats.org/officeDocument/2006/relationships/font" Target="fonts/Arvo-regular.ttf"/><Relationship Id="rId6" Type="http://schemas.openxmlformats.org/officeDocument/2006/relationships/font" Target="fonts/Arvo-bold.ttf"/><Relationship Id="rId7" Type="http://schemas.openxmlformats.org/officeDocument/2006/relationships/font" Target="fonts/Arvo-italic.ttf"/><Relationship Id="rId8" Type="http://schemas.openxmlformats.org/officeDocument/2006/relationships/font" Target="fonts/Arv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