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Lora SemiBold" w:cs="Lora SemiBold" w:eastAsia="Lora SemiBold" w:hAnsi="Lora SemiBold"/>
        </w:rPr>
      </w:pPr>
      <w:bookmarkStart w:colFirst="0" w:colLast="0" w:name="_wxk21e80ce8n" w:id="0"/>
      <w:bookmarkEnd w:id="0"/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Назначение класса «Персоны»: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Lora Medium" w:cs="Lora Medium" w:eastAsia="Lora Medium" w:hAnsi="Lora Medium"/>
          <w:color w:val="0f1115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f1115"/>
          <w:sz w:val="24"/>
          <w:szCs w:val="24"/>
          <w:rtl w:val="0"/>
        </w:rPr>
        <w:t xml:space="preserve">Базовый класс для хранения регистрационных и контактных данных всех участников системы барбершопа (клиентов и сотрудников). Обеспечивает единую аутентификацию и хранение персональной информации.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Lora Medium" w:cs="Lora Medium" w:eastAsia="Lora Medium" w:hAnsi="Lora Medium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810" w:tblpY="0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0.7142857142858"/>
        <w:gridCol w:w="1390.7142857142858"/>
        <w:gridCol w:w="1390.7142857142858"/>
        <w:gridCol w:w="1390.7142857142858"/>
        <w:gridCol w:w="1390.7142857142858"/>
        <w:gridCol w:w="1390.7142857142858"/>
        <w:gridCol w:w="1390.7142857142858"/>
        <w:tblGridChange w:id="0">
          <w:tblGrid>
            <w:gridCol w:w="1390.7142857142858"/>
            <w:gridCol w:w="1390.7142857142858"/>
            <w:gridCol w:w="1390.7142857142858"/>
            <w:gridCol w:w="1390.7142857142858"/>
            <w:gridCol w:w="1390.7142857142858"/>
            <w:gridCol w:w="1390.7142857142858"/>
            <w:gridCol w:w="1390.71428571428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Ключ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Длина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Обязательность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Значение по умолчанию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person_id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первичный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rtl w:val="0"/>
              </w:rPr>
              <w:t xml:space="preserve">AUTO_INCREMENT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Уникальный идентификатор персоны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Уникальный логин для входа в систему (телефон)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Хэш пароля, хранимый в зашифрованном виде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Имя (и отчество) для обращения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phone_number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Номер телефона для SMS-уведомлений. Уникальный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registration_date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Дата и время регистрации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is_active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Флаг активности учетной записи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SemiBold-regular.ttf"/><Relationship Id="rId6" Type="http://schemas.openxmlformats.org/officeDocument/2006/relationships/font" Target="fonts/LoraSemiBold-bold.ttf"/><Relationship Id="rId7" Type="http://schemas.openxmlformats.org/officeDocument/2006/relationships/font" Target="fonts/LoraSemiBold-italic.ttf"/><Relationship Id="rId8" Type="http://schemas.openxmlformats.org/officeDocument/2006/relationships/font" Target="fonts/Lora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