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9CA859" w14:textId="73F345CE" w:rsidR="00F45C46" w:rsidRDefault="001F1C0B" w:rsidP="00F45C46">
      <w:pPr>
        <w:jc w:val="center"/>
        <w:rPr>
          <w:rFonts w:ascii="宋体" w:eastAsia="宋体" w:hAnsi="宋体" w:cs="宋体"/>
          <w:sz w:val="21"/>
          <w:szCs w:val="21"/>
        </w:rPr>
      </w:pPr>
      <w:r w:rsidRPr="00621AD8">
        <w:rPr>
          <w:rFonts w:ascii="宋体" w:eastAsia="宋体" w:hAnsi="宋体" w:cs="宋体" w:hint="eastAsia"/>
          <w:sz w:val="30"/>
          <w:szCs w:val="30"/>
        </w:rPr>
        <w:t>高三</w:t>
      </w:r>
      <w:proofErr w:type="gramStart"/>
      <w:r w:rsidRPr="00621AD8">
        <w:rPr>
          <w:rFonts w:ascii="宋体" w:eastAsia="宋体" w:hAnsi="宋体" w:cs="宋体" w:hint="eastAsia"/>
          <w:sz w:val="30"/>
          <w:szCs w:val="30"/>
        </w:rPr>
        <w:t>政治</w:t>
      </w:r>
      <w:r w:rsidR="00977DE0">
        <w:rPr>
          <w:rFonts w:ascii="宋体" w:eastAsia="宋体" w:hAnsi="宋体" w:cs="宋体" w:hint="eastAsia"/>
          <w:sz w:val="30"/>
          <w:szCs w:val="30"/>
        </w:rPr>
        <w:t>二</w:t>
      </w:r>
      <w:r w:rsidR="00D24557">
        <w:rPr>
          <w:rFonts w:ascii="宋体" w:eastAsia="宋体" w:hAnsi="宋体" w:cs="宋体" w:hint="eastAsia"/>
          <w:sz w:val="30"/>
          <w:szCs w:val="30"/>
        </w:rPr>
        <w:t>模</w:t>
      </w:r>
      <w:r w:rsidRPr="00621AD8">
        <w:rPr>
          <w:rFonts w:ascii="宋体" w:eastAsia="宋体" w:hAnsi="宋体" w:cs="宋体" w:hint="eastAsia"/>
          <w:sz w:val="30"/>
          <w:szCs w:val="30"/>
        </w:rPr>
        <w:t>阅卷</w:t>
      </w:r>
      <w:proofErr w:type="gramEnd"/>
      <w:r w:rsidRPr="00621AD8">
        <w:rPr>
          <w:rFonts w:ascii="宋体" w:eastAsia="宋体" w:hAnsi="宋体" w:cs="宋体" w:hint="eastAsia"/>
          <w:sz w:val="30"/>
          <w:szCs w:val="30"/>
        </w:rPr>
        <w:t>总结</w:t>
      </w:r>
    </w:p>
    <w:p w14:paraId="7A0CF7A3" w14:textId="5DD5BC10" w:rsidR="00576A5E" w:rsidRDefault="001F1C0B" w:rsidP="00F45C46">
      <w:pPr>
        <w:ind w:firstLineChars="1000" w:firstLine="2100"/>
        <w:jc w:val="right"/>
        <w:rPr>
          <w:rFonts w:ascii="宋体" w:eastAsia="宋体" w:hAnsi="宋体" w:cs="宋体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202</w:t>
      </w:r>
      <w:r w:rsidR="00621AD8">
        <w:rPr>
          <w:rFonts w:ascii="宋体" w:eastAsia="宋体" w:hAnsi="宋体" w:cs="宋体"/>
          <w:sz w:val="21"/>
          <w:szCs w:val="21"/>
        </w:rPr>
        <w:t>4</w:t>
      </w:r>
      <w:r>
        <w:rPr>
          <w:rFonts w:ascii="宋体" w:eastAsia="宋体" w:hAnsi="宋体" w:cs="宋体" w:hint="eastAsia"/>
          <w:sz w:val="21"/>
          <w:szCs w:val="21"/>
        </w:rPr>
        <w:t>.</w:t>
      </w:r>
      <w:r w:rsidR="00977DE0">
        <w:rPr>
          <w:rFonts w:ascii="宋体" w:eastAsia="宋体" w:hAnsi="宋体" w:cs="宋体" w:hint="eastAsia"/>
          <w:sz w:val="21"/>
          <w:szCs w:val="21"/>
        </w:rPr>
        <w:t>5</w:t>
      </w:r>
      <w:r>
        <w:rPr>
          <w:rFonts w:ascii="宋体" w:eastAsia="宋体" w:hAnsi="宋体" w:cs="宋体" w:hint="eastAsia"/>
          <w:sz w:val="21"/>
          <w:szCs w:val="21"/>
        </w:rPr>
        <w:t>.</w:t>
      </w:r>
      <w:r w:rsidR="00977DE0">
        <w:rPr>
          <w:rFonts w:ascii="宋体" w:eastAsia="宋体" w:hAnsi="宋体" w:cs="宋体" w:hint="eastAsia"/>
          <w:sz w:val="21"/>
          <w:szCs w:val="21"/>
        </w:rPr>
        <w:t>09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7"/>
        <w:gridCol w:w="2194"/>
        <w:gridCol w:w="2050"/>
        <w:gridCol w:w="454"/>
        <w:gridCol w:w="4521"/>
      </w:tblGrid>
      <w:tr w:rsidR="001F1C0B" w14:paraId="3FE6AC77" w14:textId="77777777" w:rsidTr="00F45C46">
        <w:trPr>
          <w:trHeight w:val="963"/>
        </w:trPr>
        <w:tc>
          <w:tcPr>
            <w:tcW w:w="1392" w:type="pct"/>
            <w:gridSpan w:val="2"/>
            <w:vAlign w:val="center"/>
          </w:tcPr>
          <w:p w14:paraId="5E85177B" w14:textId="645ECEA5" w:rsidR="00576A5E" w:rsidRDefault="001F1C0B">
            <w:pPr>
              <w:rPr>
                <w:rFonts w:ascii="宋体" w:eastAsia="宋体" w:hAnsi="宋体" w:cs="宋体"/>
                <w:sz w:val="21"/>
                <w:szCs w:val="21"/>
              </w:rPr>
            </w:pPr>
            <w:r w:rsidRPr="000D5DD7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 xml:space="preserve">组长： </w:t>
            </w:r>
            <w:r w:rsidR="00621AD8" w:rsidRPr="000D5DD7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 xml:space="preserve"> </w:t>
            </w:r>
            <w:r w:rsidR="009213C5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>李若娟</w:t>
            </w:r>
            <w:r w:rsidR="00D24557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 xml:space="preserve"> </w:t>
            </w:r>
            <w:r w:rsidR="00977DE0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 xml:space="preserve"> </w:t>
            </w:r>
          </w:p>
        </w:tc>
        <w:tc>
          <w:tcPr>
            <w:tcW w:w="3608" w:type="pct"/>
            <w:gridSpan w:val="3"/>
            <w:vAlign w:val="center"/>
          </w:tcPr>
          <w:p w14:paraId="32E2BFD9" w14:textId="69DFAC9F" w:rsidR="00576A5E" w:rsidRPr="009213C5" w:rsidRDefault="00621AD8" w:rsidP="00F61162">
            <w:pPr>
              <w:spacing w:line="360" w:lineRule="auto"/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</w:pPr>
            <w:r w:rsidRPr="009F0266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题号与设问：</w:t>
            </w:r>
            <w:r w:rsidR="009213C5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18（1）结合材料，运用《政治与法治》知识，说明“四治联动”</w:t>
            </w:r>
            <w:r w:rsidR="009213C5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如何推动新时代和谐劳动关系建设</w:t>
            </w:r>
            <w:r w:rsidR="009213C5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。（7分）</w:t>
            </w:r>
          </w:p>
        </w:tc>
      </w:tr>
      <w:tr w:rsidR="001F1C0B" w14:paraId="3550DB26" w14:textId="77777777" w:rsidTr="00F61162">
        <w:trPr>
          <w:trHeight w:val="1771"/>
        </w:trPr>
        <w:tc>
          <w:tcPr>
            <w:tcW w:w="265" w:type="pct"/>
            <w:vAlign w:val="center"/>
          </w:tcPr>
          <w:p w14:paraId="7B568AB1" w14:textId="77777777" w:rsidR="00576A5E" w:rsidRDefault="001F1C0B">
            <w:pPr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参考答案</w:t>
            </w:r>
          </w:p>
        </w:tc>
        <w:tc>
          <w:tcPr>
            <w:tcW w:w="4735" w:type="pct"/>
            <w:gridSpan w:val="4"/>
            <w:vAlign w:val="center"/>
          </w:tcPr>
          <w:p w14:paraId="05234669" w14:textId="7A318F4A" w:rsidR="00576A5E" w:rsidRPr="009F0266" w:rsidRDefault="009213C5" w:rsidP="009213C5">
            <w:pPr>
              <w:spacing w:line="360" w:lineRule="auto"/>
              <w:rPr>
                <w:rFonts w:ascii="宋体" w:eastAsia="宋体" w:hAnsi="宋体"/>
                <w:color w:val="000000" w:themeColor="text1"/>
                <w:sz w:val="21"/>
                <w:szCs w:val="21"/>
              </w:rPr>
            </w:pPr>
            <w:r w:rsidRPr="009213C5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健全劳动法律法规,为保障和规范工会劳动法律监督提供法律依据,严格执法,维护劳动者合法权益。健全多元纠纷解决机制,强化共治联动,预防和化解劳动纠纷。调动用人单位等主体构建和谐劳动关系的积极性和主动性,形成尊法学法守法用法的社会氛围。强化“数治”赋能,实现数据共享,提高政府服务效能。</w:t>
            </w:r>
          </w:p>
        </w:tc>
      </w:tr>
      <w:tr w:rsidR="001F1C0B" w14:paraId="3F1C7104" w14:textId="77777777" w:rsidTr="00F45C46">
        <w:trPr>
          <w:trHeight w:val="2335"/>
        </w:trPr>
        <w:tc>
          <w:tcPr>
            <w:tcW w:w="265" w:type="pct"/>
            <w:vAlign w:val="center"/>
          </w:tcPr>
          <w:p w14:paraId="79F412B3" w14:textId="77777777" w:rsidR="00576A5E" w:rsidRDefault="001F1C0B">
            <w:pPr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试题分析</w:t>
            </w:r>
          </w:p>
        </w:tc>
        <w:tc>
          <w:tcPr>
            <w:tcW w:w="4735" w:type="pct"/>
            <w:gridSpan w:val="4"/>
            <w:vAlign w:val="center"/>
          </w:tcPr>
          <w:p w14:paraId="237E4B53" w14:textId="6E6F4C1B" w:rsidR="00652EAE" w:rsidRPr="00390365" w:rsidRDefault="00B770FE" w:rsidP="00B770FE">
            <w:pPr>
              <w:spacing w:line="360" w:lineRule="auto"/>
              <w:ind w:firstLineChars="150" w:firstLine="315"/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</w:pPr>
            <w:r w:rsidRPr="00B770FE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本题以“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‘</w:t>
            </w:r>
            <w:r w:rsidRPr="00B770FE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四治联动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’推动</w:t>
            </w:r>
            <w:r w:rsidRPr="00B770FE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新时代和谐劳动关系建设”为情境，考查的学科任务为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预测与选择</w:t>
            </w:r>
            <w:r w:rsidRPr="00B770FE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，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答题强调路径完整性，每条路径“做法＋作用”</w:t>
            </w:r>
            <w:r w:rsidR="00B30552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。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通过作答此题，让学生理解“法治”、“共治”、“自治”、“数治”在</w:t>
            </w:r>
            <w:r w:rsidR="00B30552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新时代和谐劳动关系建设中各自所发挥的不同作用以及“四治联动”</w:t>
            </w:r>
            <w:r w:rsidR="00B30552" w:rsidRPr="00B30552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在新时代和谐劳动关系建设中</w:t>
            </w:r>
            <w:r w:rsidR="00B30552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共同发挥的作用，在真实具体的情境中使学生全面理解国家治理和社会治理</w:t>
            </w:r>
            <w:r w:rsidRPr="00B770FE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，进而落实政治认同、科学精神、法治意识等核心素养。</w:t>
            </w:r>
          </w:p>
        </w:tc>
      </w:tr>
      <w:tr w:rsidR="001F1C0B" w14:paraId="20C1FCDD" w14:textId="77777777" w:rsidTr="00F45C46">
        <w:trPr>
          <w:trHeight w:val="4479"/>
        </w:trPr>
        <w:tc>
          <w:tcPr>
            <w:tcW w:w="265" w:type="pct"/>
            <w:vAlign w:val="center"/>
          </w:tcPr>
          <w:p w14:paraId="41287354" w14:textId="77777777" w:rsidR="00576A5E" w:rsidRPr="0038169F" w:rsidRDefault="001F1C0B">
            <w:pPr>
              <w:rPr>
                <w:rFonts w:ascii="宋体" w:eastAsia="宋体" w:hAnsi="宋体" w:cs="宋体"/>
                <w:b/>
                <w:color w:val="000000" w:themeColor="text1"/>
                <w:sz w:val="21"/>
                <w:szCs w:val="21"/>
              </w:rPr>
            </w:pPr>
            <w:r w:rsidRPr="0038169F">
              <w:rPr>
                <w:rFonts w:ascii="宋体" w:eastAsia="宋体" w:hAnsi="宋体" w:cs="宋体" w:hint="eastAsia"/>
                <w:b/>
                <w:color w:val="000000" w:themeColor="text1"/>
                <w:sz w:val="21"/>
                <w:szCs w:val="21"/>
              </w:rPr>
              <w:t>阅卷细则</w:t>
            </w:r>
          </w:p>
          <w:p w14:paraId="47DD454B" w14:textId="77777777" w:rsidR="00576A5E" w:rsidRPr="0038169F" w:rsidRDefault="00576A5E">
            <w:pPr>
              <w:rPr>
                <w:rFonts w:ascii="宋体" w:eastAsia="宋体" w:hAnsi="宋体" w:cs="宋体"/>
                <w:b/>
                <w:color w:val="000000" w:themeColor="text1"/>
                <w:sz w:val="21"/>
                <w:szCs w:val="21"/>
              </w:rPr>
            </w:pPr>
          </w:p>
        </w:tc>
        <w:tc>
          <w:tcPr>
            <w:tcW w:w="4735" w:type="pct"/>
            <w:gridSpan w:val="4"/>
            <w:vAlign w:val="center"/>
          </w:tcPr>
          <w:p w14:paraId="640814A5" w14:textId="77777777" w:rsidR="009213C5" w:rsidRPr="009213C5" w:rsidRDefault="009213C5" w:rsidP="009213C5">
            <w:pPr>
              <w:widowControl w:val="0"/>
              <w:adjustRightInd/>
              <w:snapToGrid/>
              <w:spacing w:after="0" w:line="300" w:lineRule="auto"/>
              <w:jc w:val="both"/>
              <w:rPr>
                <w:rFonts w:ascii="宋体" w:eastAsia="宋体" w:hAnsi="宋体" w:cs="Times New Roman"/>
                <w:b/>
                <w:bCs/>
                <w:color w:val="000000"/>
                <w:kern w:val="2"/>
                <w:sz w:val="21"/>
                <w:szCs w:val="21"/>
                <w14:ligatures w14:val="standardContextual"/>
              </w:rPr>
            </w:pPr>
            <w:r w:rsidRPr="009213C5">
              <w:rPr>
                <w:rFonts w:ascii="宋体" w:eastAsia="宋体" w:hAnsi="宋体" w:cs="Times New Roman"/>
                <w:b/>
                <w:bCs/>
                <w:color w:val="000000"/>
                <w:kern w:val="2"/>
                <w:sz w:val="21"/>
                <w:szCs w:val="21"/>
                <w14:ligatures w14:val="standardContextual"/>
              </w:rPr>
              <w:t>“</w:t>
            </w:r>
            <w:r w:rsidRPr="009213C5">
              <w:rPr>
                <w:rFonts w:ascii="宋体" w:eastAsia="宋体" w:hAnsi="宋体" w:cs="Times New Roman" w:hint="eastAsia"/>
                <w:b/>
                <w:bCs/>
                <w:color w:val="000000"/>
                <w:kern w:val="2"/>
                <w:sz w:val="21"/>
                <w:szCs w:val="21"/>
                <w14:ligatures w14:val="standardContextual"/>
              </w:rPr>
              <w:t>四治</w:t>
            </w:r>
            <w:r w:rsidRPr="009213C5">
              <w:rPr>
                <w:rFonts w:ascii="宋体" w:eastAsia="宋体" w:hAnsi="宋体" w:cs="Times New Roman"/>
                <w:b/>
                <w:bCs/>
                <w:color w:val="000000"/>
                <w:kern w:val="2"/>
                <w:sz w:val="21"/>
                <w:szCs w:val="21"/>
                <w14:ligatures w14:val="standardContextual"/>
              </w:rPr>
              <w:t>”</w:t>
            </w:r>
            <w:r w:rsidRPr="009213C5">
              <w:rPr>
                <w:rFonts w:ascii="宋体" w:eastAsia="宋体" w:hAnsi="宋体" w:cs="Times New Roman" w:hint="eastAsia"/>
                <w:b/>
                <w:bCs/>
                <w:color w:val="000000"/>
                <w:kern w:val="2"/>
                <w:sz w:val="21"/>
                <w:szCs w:val="21"/>
                <w14:ligatures w14:val="standardContextual"/>
              </w:rPr>
              <w:t>每一层：做法1分＋作用1分</w:t>
            </w:r>
          </w:p>
          <w:p w14:paraId="250CF322" w14:textId="77777777" w:rsidR="009213C5" w:rsidRPr="009213C5" w:rsidRDefault="009213C5" w:rsidP="009213C5">
            <w:pPr>
              <w:widowControl w:val="0"/>
              <w:numPr>
                <w:ilvl w:val="0"/>
                <w:numId w:val="13"/>
              </w:numPr>
              <w:adjustRightInd/>
              <w:snapToGrid/>
              <w:spacing w:after="0" w:line="300" w:lineRule="auto"/>
              <w:jc w:val="both"/>
              <w:rPr>
                <w:rFonts w:ascii="宋体" w:eastAsia="宋体" w:hAnsi="宋体" w:cs="Times New Roman"/>
                <w:kern w:val="2"/>
                <w:sz w:val="21"/>
                <w:szCs w:val="21"/>
                <w14:ligatures w14:val="standardContextual"/>
              </w:rPr>
            </w:pPr>
            <w:r w:rsidRPr="009213C5">
              <w:rPr>
                <w:rFonts w:ascii="宋体" w:eastAsia="宋体" w:hAnsi="宋体" w:cs="Times New Roman"/>
                <w:kern w:val="2"/>
                <w:sz w:val="21"/>
                <w:szCs w:val="21"/>
                <w14:ligatures w14:val="standardContextual"/>
              </w:rPr>
              <w:t>健全劳动</w:t>
            </w:r>
            <w:r w:rsidRPr="009213C5">
              <w:rPr>
                <w:rFonts w:ascii="宋体" w:eastAsia="宋体" w:hAnsi="宋体" w:cs="Times New Roman"/>
                <w:b/>
                <w:bCs/>
                <w:color w:val="000000"/>
                <w:kern w:val="2"/>
                <w:sz w:val="21"/>
                <w:szCs w:val="21"/>
                <w14:ligatures w14:val="standardContextual"/>
              </w:rPr>
              <w:t>法律法规</w:t>
            </w:r>
            <w:r w:rsidRPr="009213C5">
              <w:rPr>
                <w:rFonts w:ascii="宋体" w:eastAsia="宋体" w:hAnsi="宋体" w:cs="Times New Roman"/>
                <w:kern w:val="2"/>
                <w:sz w:val="21"/>
                <w:szCs w:val="21"/>
                <w14:ligatures w14:val="standardContextual"/>
              </w:rPr>
              <w:t>,为保障和规范工会劳动法律监督</w:t>
            </w:r>
            <w:r w:rsidRPr="009213C5">
              <w:rPr>
                <w:rFonts w:ascii="宋体" w:eastAsia="宋体" w:hAnsi="宋体" w:cs="Times New Roman"/>
                <w:b/>
                <w:bCs/>
                <w:color w:val="000000"/>
                <w:kern w:val="2"/>
                <w:sz w:val="21"/>
                <w:szCs w:val="21"/>
                <w14:ligatures w14:val="standardContextual"/>
              </w:rPr>
              <w:t>提供法律依据</w:t>
            </w:r>
            <w:r w:rsidRPr="009213C5">
              <w:rPr>
                <w:rFonts w:ascii="宋体" w:eastAsia="宋体" w:hAnsi="宋体" w:cs="Times New Roman"/>
                <w:kern w:val="2"/>
                <w:sz w:val="21"/>
                <w:szCs w:val="21"/>
                <w14:ligatures w14:val="standardContextual"/>
              </w:rPr>
              <w:t>,</w:t>
            </w:r>
            <w:r w:rsidRPr="009213C5">
              <w:rPr>
                <w:rFonts w:ascii="宋体" w:eastAsia="宋体" w:hAnsi="宋体" w:cs="Times New Roman"/>
                <w:b/>
                <w:bCs/>
                <w:color w:val="000000"/>
                <w:kern w:val="2"/>
                <w:sz w:val="21"/>
                <w:szCs w:val="21"/>
                <w14:ligatures w14:val="standardContextual"/>
              </w:rPr>
              <w:t>严格执法</w:t>
            </w:r>
            <w:r w:rsidRPr="009213C5">
              <w:rPr>
                <w:rFonts w:ascii="宋体" w:eastAsia="宋体" w:hAnsi="宋体" w:cs="Times New Roman"/>
                <w:kern w:val="2"/>
                <w:sz w:val="21"/>
                <w:szCs w:val="21"/>
                <w14:ligatures w14:val="standardContextual"/>
              </w:rPr>
              <w:t>,维护</w:t>
            </w:r>
            <w:r w:rsidRPr="009213C5">
              <w:rPr>
                <w:rFonts w:ascii="宋体" w:eastAsia="宋体" w:hAnsi="宋体" w:cs="Times New Roman" w:hint="eastAsia"/>
                <w:kern w:val="2"/>
                <w:sz w:val="21"/>
                <w:szCs w:val="21"/>
                <w14:ligatures w14:val="standardContextual"/>
              </w:rPr>
              <w:t>劳动者</w:t>
            </w:r>
            <w:r w:rsidRPr="009213C5">
              <w:rPr>
                <w:rFonts w:ascii="宋体" w:eastAsia="宋体" w:hAnsi="宋体" w:cs="Times New Roman" w:hint="eastAsia"/>
                <w:b/>
                <w:bCs/>
                <w:color w:val="000000"/>
                <w:kern w:val="2"/>
                <w:sz w:val="21"/>
                <w:szCs w:val="21"/>
                <w14:ligatures w14:val="standardContextual"/>
              </w:rPr>
              <w:t>合法权益</w:t>
            </w:r>
            <w:r w:rsidRPr="009213C5">
              <w:rPr>
                <w:rFonts w:ascii="宋体" w:eastAsia="宋体" w:hAnsi="宋体" w:cs="Times New Roman" w:hint="eastAsia"/>
                <w:color w:val="000000"/>
                <w:kern w:val="2"/>
                <w:sz w:val="21"/>
                <w:szCs w:val="21"/>
                <w14:ligatures w14:val="standardContextual"/>
              </w:rPr>
              <w:t>（健全法律法规和严格执法任写出1点即得做法1分。作用替换：为构建和谐劳动关系提供</w:t>
            </w:r>
            <w:r w:rsidRPr="009213C5">
              <w:rPr>
                <w:rFonts w:ascii="宋体" w:eastAsia="宋体" w:hAnsi="宋体" w:cs="Times New Roman" w:hint="eastAsia"/>
                <w:b/>
                <w:bCs/>
                <w:color w:val="000000"/>
                <w:kern w:val="2"/>
                <w:sz w:val="21"/>
                <w:szCs w:val="21"/>
                <w14:ligatures w14:val="standardContextual"/>
              </w:rPr>
              <w:t>法治保障</w:t>
            </w:r>
            <w:r w:rsidRPr="009213C5">
              <w:rPr>
                <w:rFonts w:ascii="宋体" w:eastAsia="宋体" w:hAnsi="宋体" w:cs="Times New Roman" w:hint="eastAsia"/>
                <w:color w:val="000000"/>
                <w:kern w:val="2"/>
                <w:sz w:val="21"/>
                <w:szCs w:val="21"/>
                <w14:ligatures w14:val="standardContextual"/>
              </w:rPr>
              <w:t>）</w:t>
            </w:r>
            <w:r w:rsidRPr="009213C5">
              <w:rPr>
                <w:rFonts w:ascii="宋体" w:eastAsia="宋体" w:hAnsi="宋体" w:cs="Times New Roman" w:hint="eastAsia"/>
                <w:kern w:val="2"/>
                <w:sz w:val="21"/>
                <w:szCs w:val="21"/>
                <w14:ligatures w14:val="standardContextual"/>
              </w:rPr>
              <w:t>。</w:t>
            </w:r>
            <w:bookmarkStart w:id="0" w:name="_Hlk166101424"/>
            <w:r w:rsidRPr="009213C5">
              <w:rPr>
                <w:rFonts w:ascii="宋体" w:eastAsia="宋体" w:hAnsi="宋体" w:cs="Times New Roman" w:hint="eastAsia"/>
                <w:kern w:val="2"/>
                <w:sz w:val="21"/>
                <w:szCs w:val="21"/>
                <w14:ligatures w14:val="standardContextual"/>
              </w:rPr>
              <w:t>（1＋1）</w:t>
            </w:r>
            <w:bookmarkEnd w:id="0"/>
          </w:p>
          <w:p w14:paraId="7CD8161F" w14:textId="77777777" w:rsidR="009213C5" w:rsidRPr="009213C5" w:rsidRDefault="009213C5" w:rsidP="009213C5">
            <w:pPr>
              <w:widowControl w:val="0"/>
              <w:numPr>
                <w:ilvl w:val="0"/>
                <w:numId w:val="13"/>
              </w:numPr>
              <w:adjustRightInd/>
              <w:snapToGrid/>
              <w:spacing w:after="0" w:line="300" w:lineRule="auto"/>
              <w:jc w:val="both"/>
              <w:rPr>
                <w:rFonts w:ascii="宋体" w:eastAsia="宋体" w:hAnsi="宋体" w:cs="Times New Roman"/>
                <w:kern w:val="2"/>
                <w:sz w:val="21"/>
                <w:szCs w:val="21"/>
                <w14:ligatures w14:val="standardContextual"/>
              </w:rPr>
            </w:pPr>
            <w:r w:rsidRPr="009213C5">
              <w:rPr>
                <w:rFonts w:ascii="宋体" w:eastAsia="宋体" w:hAnsi="宋体" w:cs="Times New Roman" w:hint="eastAsia"/>
                <w:kern w:val="2"/>
                <w:sz w:val="21"/>
                <w:szCs w:val="21"/>
                <w14:ligatures w14:val="standardContextual"/>
              </w:rPr>
              <w:t>健全</w:t>
            </w:r>
            <w:r w:rsidRPr="009213C5">
              <w:rPr>
                <w:rFonts w:ascii="宋体" w:eastAsia="宋体" w:hAnsi="宋体" w:cs="Times New Roman" w:hint="eastAsia"/>
                <w:b/>
                <w:bCs/>
                <w:color w:val="000000"/>
                <w:kern w:val="2"/>
                <w:sz w:val="21"/>
                <w:szCs w:val="21"/>
                <w14:ligatures w14:val="standardContextual"/>
              </w:rPr>
              <w:t>多元</w:t>
            </w:r>
            <w:r w:rsidRPr="009213C5">
              <w:rPr>
                <w:rFonts w:ascii="宋体" w:eastAsia="宋体" w:hAnsi="宋体" w:cs="Times New Roman" w:hint="eastAsia"/>
                <w:kern w:val="2"/>
                <w:sz w:val="21"/>
                <w:szCs w:val="21"/>
                <w14:ligatures w14:val="standardContextual"/>
              </w:rPr>
              <w:t>纠纷解决机制</w:t>
            </w:r>
            <w:r w:rsidRPr="009213C5">
              <w:rPr>
                <w:rFonts w:ascii="宋体" w:eastAsia="宋体" w:hAnsi="宋体" w:cs="Times New Roman"/>
                <w:kern w:val="2"/>
                <w:sz w:val="21"/>
                <w:szCs w:val="21"/>
                <w14:ligatures w14:val="standardContextual"/>
              </w:rPr>
              <w:t>,强化</w:t>
            </w:r>
            <w:r w:rsidRPr="009213C5">
              <w:rPr>
                <w:rFonts w:ascii="宋体" w:eastAsia="宋体" w:hAnsi="宋体" w:cs="Times New Roman"/>
                <w:b/>
                <w:bCs/>
                <w:color w:val="000000"/>
                <w:kern w:val="2"/>
                <w:sz w:val="21"/>
                <w:szCs w:val="21"/>
                <w14:ligatures w14:val="standardContextual"/>
              </w:rPr>
              <w:t>共治</w:t>
            </w:r>
            <w:r w:rsidRPr="009213C5">
              <w:rPr>
                <w:rFonts w:ascii="宋体" w:eastAsia="宋体" w:hAnsi="宋体" w:cs="Times New Roman"/>
                <w:kern w:val="2"/>
                <w:sz w:val="21"/>
                <w:szCs w:val="21"/>
                <w14:ligatures w14:val="standardContextual"/>
              </w:rPr>
              <w:t>联动,</w:t>
            </w:r>
            <w:r w:rsidRPr="009213C5">
              <w:rPr>
                <w:rFonts w:ascii="宋体" w:eastAsia="宋体" w:hAnsi="宋体" w:cs="Times New Roman"/>
                <w:b/>
                <w:bCs/>
                <w:color w:val="000000"/>
                <w:kern w:val="2"/>
                <w:sz w:val="21"/>
                <w:szCs w:val="21"/>
                <w14:ligatures w14:val="standardContextual"/>
              </w:rPr>
              <w:t>预防和化解劳动纠纷</w:t>
            </w:r>
            <w:r w:rsidRPr="009213C5">
              <w:rPr>
                <w:rFonts w:ascii="宋体" w:eastAsia="宋体" w:hAnsi="宋体" w:cs="Times New Roman"/>
                <w:kern w:val="2"/>
                <w:sz w:val="21"/>
                <w:szCs w:val="21"/>
                <w14:ligatures w14:val="standardContextual"/>
              </w:rPr>
              <w:t>。</w:t>
            </w:r>
            <w:r w:rsidRPr="009213C5">
              <w:rPr>
                <w:rFonts w:ascii="宋体" w:eastAsia="宋体" w:hAnsi="宋体" w:cs="Times New Roman" w:hint="eastAsia"/>
                <w:kern w:val="2"/>
                <w:sz w:val="21"/>
                <w:szCs w:val="21"/>
                <w14:ligatures w14:val="standardContextual"/>
              </w:rPr>
              <w:t>（</w:t>
            </w:r>
            <w:r w:rsidRPr="009213C5">
              <w:rPr>
                <w:rFonts w:ascii="宋体" w:eastAsia="宋体" w:hAnsi="宋体" w:cs="Times New Roman"/>
                <w:kern w:val="2"/>
                <w:sz w:val="21"/>
                <w:szCs w:val="21"/>
                <w14:ligatures w14:val="standardContextual"/>
              </w:rPr>
              <w:t>1＋1）</w:t>
            </w:r>
          </w:p>
          <w:p w14:paraId="08D59B00" w14:textId="77777777" w:rsidR="009213C5" w:rsidRPr="009213C5" w:rsidRDefault="009213C5" w:rsidP="009213C5">
            <w:pPr>
              <w:widowControl w:val="0"/>
              <w:numPr>
                <w:ilvl w:val="0"/>
                <w:numId w:val="13"/>
              </w:numPr>
              <w:adjustRightInd/>
              <w:snapToGrid/>
              <w:spacing w:after="0" w:line="300" w:lineRule="auto"/>
              <w:jc w:val="both"/>
              <w:rPr>
                <w:rFonts w:ascii="宋体" w:eastAsia="宋体" w:hAnsi="宋体" w:cs="Times New Roman"/>
                <w:kern w:val="2"/>
                <w:sz w:val="21"/>
                <w:szCs w:val="21"/>
                <w14:ligatures w14:val="standardContextual"/>
              </w:rPr>
            </w:pPr>
            <w:r w:rsidRPr="009213C5">
              <w:rPr>
                <w:rFonts w:ascii="宋体" w:eastAsia="宋体" w:hAnsi="宋体" w:cs="Times New Roman"/>
                <w:kern w:val="2"/>
                <w:sz w:val="21"/>
                <w:szCs w:val="21"/>
                <w14:ligatures w14:val="standardContextual"/>
              </w:rPr>
              <w:t>调动</w:t>
            </w:r>
            <w:r w:rsidRPr="009213C5">
              <w:rPr>
                <w:rFonts w:ascii="宋体" w:eastAsia="宋体" w:hAnsi="宋体" w:cs="Times New Roman"/>
                <w:b/>
                <w:bCs/>
                <w:color w:val="000000"/>
                <w:kern w:val="2"/>
                <w:sz w:val="21"/>
                <w:szCs w:val="21"/>
                <w14:ligatures w14:val="standardContextual"/>
              </w:rPr>
              <w:t>用人单位等主体</w:t>
            </w:r>
            <w:r w:rsidRPr="009213C5">
              <w:rPr>
                <w:rFonts w:ascii="宋体" w:eastAsia="宋体" w:hAnsi="宋体" w:cs="Times New Roman"/>
                <w:kern w:val="2"/>
                <w:sz w:val="21"/>
                <w:szCs w:val="21"/>
                <w14:ligatures w14:val="standardContextual"/>
              </w:rPr>
              <w:t>构建和谐劳动关系的积极性和主动性</w:t>
            </w:r>
            <w:r w:rsidRPr="009213C5">
              <w:rPr>
                <w:rFonts w:ascii="宋体" w:eastAsia="宋体" w:hAnsi="宋体" w:cs="Times New Roman" w:hint="eastAsia"/>
                <w:b/>
                <w:bCs/>
                <w:color w:val="000000"/>
                <w:kern w:val="2"/>
                <w:sz w:val="21"/>
                <w:szCs w:val="21"/>
                <w14:ligatures w14:val="standardContextual"/>
              </w:rPr>
              <w:t>（替换：强化用人单位主体自治）</w:t>
            </w:r>
            <w:r w:rsidRPr="009213C5">
              <w:rPr>
                <w:rFonts w:ascii="宋体" w:eastAsia="宋体" w:hAnsi="宋体" w:cs="Times New Roman"/>
                <w:kern w:val="2"/>
                <w:sz w:val="21"/>
                <w:szCs w:val="21"/>
                <w14:ligatures w14:val="standardContextual"/>
              </w:rPr>
              <w:t>,形成</w:t>
            </w:r>
            <w:r w:rsidRPr="009213C5">
              <w:rPr>
                <w:rFonts w:ascii="宋体" w:eastAsia="宋体" w:hAnsi="宋体" w:cs="Times New Roman"/>
                <w:b/>
                <w:bCs/>
                <w:color w:val="000000"/>
                <w:kern w:val="2"/>
                <w:sz w:val="21"/>
                <w:szCs w:val="21"/>
                <w14:ligatures w14:val="standardContextual"/>
              </w:rPr>
              <w:t>尊法学法守法用法的社会氛围</w:t>
            </w:r>
            <w:r w:rsidRPr="009213C5">
              <w:rPr>
                <w:rFonts w:ascii="宋体" w:eastAsia="宋体" w:hAnsi="宋体" w:cs="Times New Roman"/>
                <w:kern w:val="2"/>
                <w:sz w:val="21"/>
                <w:szCs w:val="21"/>
                <w14:ligatures w14:val="standardContextual"/>
              </w:rPr>
              <w:t>。</w:t>
            </w:r>
            <w:r w:rsidRPr="009213C5">
              <w:rPr>
                <w:rFonts w:ascii="宋体" w:eastAsia="宋体" w:hAnsi="宋体" w:cs="Times New Roman" w:hint="eastAsia"/>
                <w:kern w:val="2"/>
                <w:sz w:val="21"/>
                <w:szCs w:val="21"/>
                <w14:ligatures w14:val="standardContextual"/>
              </w:rPr>
              <w:t>（</w:t>
            </w:r>
            <w:r w:rsidRPr="009213C5">
              <w:rPr>
                <w:rFonts w:ascii="宋体" w:eastAsia="宋体" w:hAnsi="宋体" w:cs="Times New Roman"/>
                <w:kern w:val="2"/>
                <w:sz w:val="21"/>
                <w:szCs w:val="21"/>
                <w14:ligatures w14:val="standardContextual"/>
              </w:rPr>
              <w:t>1＋1）</w:t>
            </w:r>
          </w:p>
          <w:p w14:paraId="05A80CAB" w14:textId="77777777" w:rsidR="009213C5" w:rsidRPr="009213C5" w:rsidRDefault="009213C5" w:rsidP="009213C5">
            <w:pPr>
              <w:widowControl w:val="0"/>
              <w:numPr>
                <w:ilvl w:val="0"/>
                <w:numId w:val="13"/>
              </w:numPr>
              <w:adjustRightInd/>
              <w:snapToGrid/>
              <w:spacing w:after="0" w:line="300" w:lineRule="auto"/>
              <w:jc w:val="both"/>
              <w:rPr>
                <w:rFonts w:ascii="宋体" w:eastAsia="宋体" w:hAnsi="宋体" w:cs="Times New Roman"/>
                <w:kern w:val="2"/>
                <w:sz w:val="21"/>
                <w:szCs w:val="21"/>
                <w14:ligatures w14:val="standardContextual"/>
              </w:rPr>
            </w:pPr>
            <w:r w:rsidRPr="009213C5">
              <w:rPr>
                <w:rFonts w:ascii="宋体" w:eastAsia="宋体" w:hAnsi="宋体" w:cs="Times New Roman"/>
                <w:kern w:val="2"/>
                <w:sz w:val="21"/>
                <w:szCs w:val="21"/>
                <w14:ligatures w14:val="standardContextual"/>
              </w:rPr>
              <w:t>强化</w:t>
            </w:r>
            <w:r w:rsidRPr="009213C5">
              <w:rPr>
                <w:rFonts w:ascii="宋体" w:eastAsia="宋体" w:hAnsi="宋体" w:cs="Times New Roman"/>
                <w:b/>
                <w:bCs/>
                <w:color w:val="000000"/>
                <w:kern w:val="2"/>
                <w:sz w:val="21"/>
                <w:szCs w:val="21"/>
                <w14:ligatures w14:val="standardContextual"/>
              </w:rPr>
              <w:t>“数治”赋能</w:t>
            </w:r>
            <w:r w:rsidRPr="009213C5">
              <w:rPr>
                <w:rFonts w:ascii="宋体" w:eastAsia="宋体" w:hAnsi="宋体" w:cs="Times New Roman"/>
                <w:kern w:val="2"/>
                <w:sz w:val="21"/>
                <w:szCs w:val="21"/>
                <w14:ligatures w14:val="standardContextual"/>
              </w:rPr>
              <w:t>,实现</w:t>
            </w:r>
            <w:r w:rsidRPr="009213C5">
              <w:rPr>
                <w:rFonts w:ascii="宋体" w:eastAsia="宋体" w:hAnsi="宋体" w:cs="Times New Roman"/>
                <w:b/>
                <w:bCs/>
                <w:color w:val="000000"/>
                <w:kern w:val="2"/>
                <w:sz w:val="21"/>
                <w:szCs w:val="21"/>
                <w14:ligatures w14:val="standardContextual"/>
              </w:rPr>
              <w:t>数据共享</w:t>
            </w:r>
            <w:r w:rsidRPr="009213C5">
              <w:rPr>
                <w:rFonts w:ascii="宋体" w:eastAsia="宋体" w:hAnsi="宋体" w:cs="Times New Roman"/>
                <w:kern w:val="2"/>
                <w:sz w:val="21"/>
                <w:szCs w:val="21"/>
                <w14:ligatures w14:val="standardContextual"/>
              </w:rPr>
              <w:t>,提高政府服务</w:t>
            </w:r>
            <w:r w:rsidRPr="009213C5">
              <w:rPr>
                <w:rFonts w:ascii="宋体" w:eastAsia="宋体" w:hAnsi="宋体" w:cs="Times New Roman"/>
                <w:b/>
                <w:bCs/>
                <w:color w:val="000000"/>
                <w:kern w:val="2"/>
                <w:sz w:val="21"/>
                <w:szCs w:val="21"/>
                <w14:ligatures w14:val="standardContextual"/>
              </w:rPr>
              <w:t>效能</w:t>
            </w:r>
            <w:r w:rsidRPr="009213C5">
              <w:rPr>
                <w:rFonts w:ascii="宋体" w:eastAsia="宋体" w:hAnsi="宋体" w:cs="Times New Roman"/>
                <w:kern w:val="2"/>
                <w:sz w:val="21"/>
                <w:szCs w:val="21"/>
                <w14:ligatures w14:val="standardContextual"/>
              </w:rPr>
              <w:t>。</w:t>
            </w:r>
            <w:r w:rsidRPr="009213C5">
              <w:rPr>
                <w:rFonts w:ascii="宋体" w:eastAsia="宋体" w:hAnsi="宋体" w:cs="Times New Roman" w:hint="eastAsia"/>
                <w:kern w:val="2"/>
                <w:sz w:val="21"/>
                <w:szCs w:val="21"/>
                <w14:ligatures w14:val="standardContextual"/>
              </w:rPr>
              <w:t>（</w:t>
            </w:r>
            <w:r w:rsidRPr="009213C5">
              <w:rPr>
                <w:rFonts w:ascii="宋体" w:eastAsia="宋体" w:hAnsi="宋体" w:cs="Times New Roman"/>
                <w:kern w:val="2"/>
                <w:sz w:val="21"/>
                <w:szCs w:val="21"/>
                <w14:ligatures w14:val="standardContextual"/>
              </w:rPr>
              <w:t>1＋1）</w:t>
            </w:r>
          </w:p>
          <w:p w14:paraId="1AFAC268" w14:textId="77777777" w:rsidR="009213C5" w:rsidRPr="009213C5" w:rsidRDefault="009213C5" w:rsidP="009213C5">
            <w:pPr>
              <w:widowControl w:val="0"/>
              <w:adjustRightInd/>
              <w:snapToGrid/>
              <w:spacing w:after="0" w:line="300" w:lineRule="auto"/>
              <w:jc w:val="both"/>
              <w:rPr>
                <w:rFonts w:ascii="宋体" w:eastAsia="宋体" w:hAnsi="宋体" w:cs="Times New Roman"/>
                <w:b/>
                <w:bCs/>
                <w:kern w:val="2"/>
                <w:sz w:val="21"/>
                <w:szCs w:val="21"/>
                <w14:ligatures w14:val="standardContextual"/>
              </w:rPr>
            </w:pPr>
            <w:r w:rsidRPr="009213C5">
              <w:rPr>
                <w:rFonts w:ascii="宋体" w:eastAsia="宋体" w:hAnsi="宋体" w:cs="Times New Roman" w:hint="eastAsia"/>
                <w:b/>
                <w:bCs/>
                <w:kern w:val="2"/>
                <w:sz w:val="21"/>
                <w:szCs w:val="21"/>
                <w14:ligatures w14:val="standardContextual"/>
              </w:rPr>
              <w:t>加分项：</w:t>
            </w:r>
          </w:p>
          <w:p w14:paraId="2100D1CC" w14:textId="44F5AAF0" w:rsidR="009213C5" w:rsidRPr="009213C5" w:rsidRDefault="009213C5" w:rsidP="009213C5">
            <w:pPr>
              <w:widowControl w:val="0"/>
              <w:numPr>
                <w:ilvl w:val="0"/>
                <w:numId w:val="14"/>
              </w:numPr>
              <w:adjustRightInd/>
              <w:snapToGrid/>
              <w:spacing w:after="0" w:line="300" w:lineRule="auto"/>
              <w:jc w:val="both"/>
              <w:rPr>
                <w:rFonts w:ascii="宋体" w:eastAsia="宋体" w:hAnsi="宋体" w:cs="Times New Roman"/>
                <w:kern w:val="2"/>
                <w:sz w:val="21"/>
                <w:szCs w:val="21"/>
                <w14:ligatures w14:val="standardContextual"/>
              </w:rPr>
            </w:pPr>
            <w:r w:rsidRPr="009213C5">
              <w:rPr>
                <w:rFonts w:ascii="宋体" w:eastAsia="宋体" w:hAnsi="宋体" w:cs="Times New Roman" w:hint="eastAsia"/>
                <w:kern w:val="2"/>
                <w:sz w:val="21"/>
                <w:szCs w:val="21"/>
                <w14:ligatures w14:val="standardContextual"/>
              </w:rPr>
              <w:t>党建引领</w:t>
            </w:r>
            <w:r>
              <w:rPr>
                <w:rFonts w:ascii="宋体" w:eastAsia="宋体" w:hAnsi="宋体" w:cs="Times New Roman" w:hint="eastAsia"/>
                <w:kern w:val="2"/>
                <w:sz w:val="21"/>
                <w:szCs w:val="21"/>
                <w14:ligatures w14:val="standardContextual"/>
              </w:rPr>
              <w:t>/坚持党的领导</w:t>
            </w:r>
            <w:r w:rsidRPr="009213C5">
              <w:rPr>
                <w:rFonts w:ascii="宋体" w:eastAsia="宋体" w:hAnsi="宋体" w:cs="Times New Roman" w:hint="eastAsia"/>
                <w:kern w:val="2"/>
                <w:sz w:val="21"/>
                <w:szCs w:val="21"/>
                <w14:ligatures w14:val="standardContextual"/>
              </w:rPr>
              <w:t>（1分）</w:t>
            </w:r>
          </w:p>
          <w:p w14:paraId="126E19A7" w14:textId="4986C2F1" w:rsidR="009213C5" w:rsidRPr="009213C5" w:rsidRDefault="009213C5" w:rsidP="009213C5">
            <w:pPr>
              <w:widowControl w:val="0"/>
              <w:numPr>
                <w:ilvl w:val="0"/>
                <w:numId w:val="14"/>
              </w:numPr>
              <w:adjustRightInd/>
              <w:snapToGrid/>
              <w:spacing w:after="0" w:line="300" w:lineRule="auto"/>
              <w:jc w:val="both"/>
              <w:rPr>
                <w:rFonts w:ascii="宋体" w:eastAsia="宋体" w:hAnsi="宋体" w:cs="Times New Roman" w:hint="eastAsia"/>
                <w:kern w:val="2"/>
                <w:sz w:val="21"/>
                <w:szCs w:val="21"/>
                <w14:ligatures w14:val="standardContextual"/>
              </w:rPr>
            </w:pPr>
            <w:r w:rsidRPr="009213C5">
              <w:rPr>
                <w:rFonts w:ascii="宋体" w:eastAsia="宋体" w:hAnsi="宋体" w:cs="Times New Roman" w:hint="eastAsia"/>
                <w:kern w:val="2"/>
                <w:sz w:val="21"/>
                <w:szCs w:val="21"/>
                <w14:ligatures w14:val="standardContextual"/>
              </w:rPr>
              <w:t>“四治联动”推动</w:t>
            </w:r>
            <w:r w:rsidRPr="009213C5">
              <w:rPr>
                <w:rFonts w:ascii="宋体" w:eastAsia="宋体" w:hAnsi="宋体" w:cs="Times New Roman" w:hint="eastAsia"/>
                <w:color w:val="000000"/>
                <w:kern w:val="2"/>
                <w:sz w:val="21"/>
                <w:szCs w:val="21"/>
                <w14:ligatures w14:val="standardContextual"/>
              </w:rPr>
              <w:t>治理体系和治理能力现代化</w:t>
            </w:r>
            <w:r w:rsidRPr="009213C5">
              <w:rPr>
                <w:rFonts w:ascii="宋体" w:eastAsia="宋体" w:hAnsi="宋体" w:cs="Times New Roman" w:hint="eastAsia"/>
                <w:kern w:val="2"/>
                <w:sz w:val="21"/>
                <w:szCs w:val="21"/>
                <w14:ligatures w14:val="standardContextual"/>
              </w:rPr>
              <w:t>，助力和谐劳动关系建设（1分）</w:t>
            </w:r>
          </w:p>
          <w:p w14:paraId="2EF5A4DA" w14:textId="7BAC09DC" w:rsidR="00452BC0" w:rsidRPr="009213C5" w:rsidRDefault="009213C5" w:rsidP="009213C5">
            <w:pPr>
              <w:widowControl w:val="0"/>
              <w:adjustRightInd/>
              <w:snapToGrid/>
              <w:spacing w:after="0" w:line="300" w:lineRule="auto"/>
              <w:jc w:val="both"/>
              <w:rPr>
                <w:rFonts w:ascii="宋体" w:eastAsia="宋体" w:hAnsi="宋体" w:cs="Times New Roman" w:hint="eastAsia"/>
                <w:b/>
                <w:bCs/>
                <w:kern w:val="2"/>
                <w:sz w:val="21"/>
                <w:szCs w:val="21"/>
                <w14:ligatures w14:val="standardContextual"/>
              </w:rPr>
            </w:pPr>
            <w:r w:rsidRPr="009213C5">
              <w:rPr>
                <w:rFonts w:ascii="宋体" w:eastAsia="宋体" w:hAnsi="宋体" w:cs="Times New Roman" w:hint="eastAsia"/>
                <w:b/>
                <w:bCs/>
                <w:kern w:val="2"/>
                <w:sz w:val="21"/>
                <w:szCs w:val="21"/>
                <w14:ligatures w14:val="standardContextual"/>
              </w:rPr>
              <w:t>累计得分最高不超过7分</w:t>
            </w:r>
          </w:p>
        </w:tc>
      </w:tr>
      <w:tr w:rsidR="004F3DDE" w14:paraId="1AA81D5C" w14:textId="77777777" w:rsidTr="00417716">
        <w:trPr>
          <w:trHeight w:val="2685"/>
        </w:trPr>
        <w:tc>
          <w:tcPr>
            <w:tcW w:w="265" w:type="pct"/>
            <w:vAlign w:val="center"/>
          </w:tcPr>
          <w:p w14:paraId="4D0E7091" w14:textId="51AD1A2A" w:rsidR="00576A5E" w:rsidRDefault="001F1C0B" w:rsidP="00A12E9E">
            <w:pPr>
              <w:jc w:val="center"/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学生问题</w:t>
            </w:r>
          </w:p>
        </w:tc>
        <w:tc>
          <w:tcPr>
            <w:tcW w:w="2180" w:type="pct"/>
            <w:gridSpan w:val="2"/>
            <w:vAlign w:val="center"/>
          </w:tcPr>
          <w:p w14:paraId="51CB6CB1" w14:textId="31E722FB" w:rsidR="00F61162" w:rsidRPr="00F61162" w:rsidRDefault="00F61162" w:rsidP="00F61162">
            <w:pPr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</w:pPr>
            <w:r w:rsidRPr="00F61162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1.学科知识错误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。如</w:t>
            </w:r>
            <w:r w:rsidRPr="00F61162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政府依法执政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、</w:t>
            </w:r>
            <w:r w:rsidRPr="00F61162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扩大政府职能范围；政府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/全国人大/立法机关</w:t>
            </w:r>
            <w:r w:rsidRPr="00F61162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出台《X省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……</w:t>
            </w:r>
            <w:r w:rsidRPr="00F61162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条例》</w:t>
            </w:r>
          </w:p>
          <w:p w14:paraId="04159EEB" w14:textId="42CBA036" w:rsidR="00F61162" w:rsidRPr="00F61162" w:rsidRDefault="00F61162" w:rsidP="00F61162">
            <w:pPr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</w:pPr>
            <w:r w:rsidRPr="00F61162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2.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答题</w:t>
            </w:r>
            <w:r w:rsidRPr="00F61162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结构不完整，只有做法，不写作用；答题结构不清晰，混在一起答。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（见典型错误答卷）</w:t>
            </w:r>
          </w:p>
          <w:p w14:paraId="7A51900C" w14:textId="543D58B8" w:rsidR="00F25099" w:rsidRPr="00977DE0" w:rsidRDefault="00F61162" w:rsidP="00977DE0">
            <w:pP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</w:pPr>
            <w:r w:rsidRPr="00F61162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3.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只</w:t>
            </w:r>
            <w:r w:rsidRPr="00F61162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抄材料，不落学科知识</w:t>
            </w:r>
          </w:p>
        </w:tc>
        <w:tc>
          <w:tcPr>
            <w:tcW w:w="233" w:type="pct"/>
            <w:vAlign w:val="center"/>
          </w:tcPr>
          <w:p w14:paraId="2610070F" w14:textId="27392210" w:rsidR="00576A5E" w:rsidRDefault="001F1C0B">
            <w:pPr>
              <w:rPr>
                <w:rFonts w:ascii="宋体" w:eastAsia="宋体" w:hAnsi="宋体" w:cs="宋体"/>
                <w:b/>
                <w:color w:val="FF0000"/>
                <w:sz w:val="21"/>
                <w:szCs w:val="21"/>
              </w:rPr>
            </w:pPr>
            <w:r w:rsidRPr="00A12E9E">
              <w:rPr>
                <w:rFonts w:ascii="宋体" w:eastAsia="宋体" w:hAnsi="宋体" w:cs="宋体" w:hint="eastAsia"/>
                <w:b/>
                <w:sz w:val="21"/>
                <w:szCs w:val="21"/>
              </w:rPr>
              <w:t>试卷讲评建议</w:t>
            </w:r>
          </w:p>
        </w:tc>
        <w:tc>
          <w:tcPr>
            <w:tcW w:w="2323" w:type="pct"/>
            <w:vAlign w:val="center"/>
          </w:tcPr>
          <w:p w14:paraId="384001C5" w14:textId="6E81A581" w:rsidR="00CE6160" w:rsidRPr="00CE6160" w:rsidRDefault="00CE6160" w:rsidP="00CE6160">
            <w:pPr>
              <w:rPr>
                <w:rFonts w:ascii="宋体" w:eastAsia="宋体" w:hAnsi="宋体" w:cs="宋体" w:hint="eastAsia"/>
                <w:bCs/>
                <w:sz w:val="21"/>
                <w:szCs w:val="21"/>
              </w:rPr>
            </w:pPr>
            <w:r w:rsidRPr="00CE6160">
              <w:rPr>
                <w:rFonts w:ascii="宋体" w:eastAsia="宋体" w:hAnsi="宋体" w:cs="宋体" w:hint="eastAsia"/>
                <w:bCs/>
                <w:sz w:val="21"/>
                <w:szCs w:val="21"/>
              </w:rPr>
              <w:t>1.常规题 规范作答、逻辑完整</w:t>
            </w: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，</w:t>
            </w: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答题结构有“分-总”意识</w:t>
            </w:r>
          </w:p>
          <w:p w14:paraId="0A90BD4F" w14:textId="4186BC57" w:rsidR="00CE6160" w:rsidRPr="00CE6160" w:rsidRDefault="00CE6160" w:rsidP="00CE6160">
            <w:pPr>
              <w:rPr>
                <w:rFonts w:ascii="宋体" w:eastAsia="宋体" w:hAnsi="宋体" w:cs="宋体" w:hint="eastAsia"/>
                <w:bCs/>
                <w:sz w:val="21"/>
                <w:szCs w:val="21"/>
              </w:rPr>
            </w:pPr>
            <w:r w:rsidRPr="00CE6160">
              <w:rPr>
                <w:rFonts w:ascii="宋体" w:eastAsia="宋体" w:hAnsi="宋体" w:cs="宋体" w:hint="eastAsia"/>
                <w:bCs/>
                <w:sz w:val="21"/>
                <w:szCs w:val="21"/>
              </w:rPr>
              <w:t>2.夯实基础知识，知识运用精准</w:t>
            </w: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，避免出现学科错误</w:t>
            </w:r>
          </w:p>
          <w:p w14:paraId="42F06038" w14:textId="3E5E26B7" w:rsidR="00CE6160" w:rsidRPr="00977DE0" w:rsidRDefault="00CE6160" w:rsidP="00CE6160">
            <w:pPr>
              <w:rPr>
                <w:rFonts w:ascii="宋体" w:eastAsia="宋体" w:hAnsi="宋体" w:cs="宋体" w:hint="eastAsia"/>
                <w:bCs/>
                <w:sz w:val="21"/>
                <w:szCs w:val="21"/>
              </w:rPr>
            </w:pPr>
            <w:r w:rsidRPr="00CE6160">
              <w:rPr>
                <w:rFonts w:ascii="宋体" w:eastAsia="宋体" w:hAnsi="宋体" w:cs="宋体" w:hint="eastAsia"/>
                <w:bCs/>
                <w:sz w:val="21"/>
                <w:szCs w:val="21"/>
              </w:rPr>
              <w:t>3.做法</w:t>
            </w: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和</w:t>
            </w:r>
            <w:r w:rsidRPr="00CE6160">
              <w:rPr>
                <w:rFonts w:ascii="宋体" w:eastAsia="宋体" w:hAnsi="宋体" w:cs="宋体" w:hint="eastAsia"/>
                <w:bCs/>
                <w:sz w:val="21"/>
                <w:szCs w:val="21"/>
              </w:rPr>
              <w:t>作用一一对应，</w:t>
            </w: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作用要具体，</w:t>
            </w:r>
            <w:r w:rsidRPr="00CE6160">
              <w:rPr>
                <w:rFonts w:ascii="宋体" w:eastAsia="宋体" w:hAnsi="宋体" w:cs="宋体" w:hint="eastAsia"/>
                <w:bCs/>
                <w:sz w:val="21"/>
                <w:szCs w:val="21"/>
              </w:rPr>
              <w:t>避免泛泛而谈</w:t>
            </w:r>
          </w:p>
        </w:tc>
      </w:tr>
      <w:tr w:rsidR="001F1C0B" w14:paraId="374AE923" w14:textId="77777777" w:rsidTr="00EA7F10">
        <w:trPr>
          <w:trHeight w:val="2033"/>
        </w:trPr>
        <w:tc>
          <w:tcPr>
            <w:tcW w:w="265" w:type="pct"/>
            <w:vAlign w:val="center"/>
          </w:tcPr>
          <w:p w14:paraId="3E7B242B" w14:textId="77777777" w:rsidR="00576A5E" w:rsidRDefault="001F1C0B">
            <w:pPr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lastRenderedPageBreak/>
              <w:t>教学建议</w:t>
            </w:r>
          </w:p>
        </w:tc>
        <w:tc>
          <w:tcPr>
            <w:tcW w:w="4735" w:type="pct"/>
            <w:gridSpan w:val="4"/>
            <w:vAlign w:val="center"/>
          </w:tcPr>
          <w:p w14:paraId="5C99A97A" w14:textId="03150C3A" w:rsidR="00D309A0" w:rsidRDefault="00B20DE3" w:rsidP="00977DE0">
            <w:pPr>
              <w:rPr>
                <w:rFonts w:ascii="宋体" w:eastAsia="宋体" w:hAnsi="宋体" w:cs="宋体"/>
                <w:bCs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1.</w:t>
            </w:r>
            <w:r w:rsidR="0029539E">
              <w:rPr>
                <w:rFonts w:ascii="宋体" w:eastAsia="宋体" w:hAnsi="宋体" w:cs="宋体" w:hint="eastAsia"/>
                <w:bCs/>
                <w:sz w:val="21"/>
                <w:szCs w:val="21"/>
              </w:rPr>
              <w:t>回归教材，细化对知识的全面复习，注重知识的辨识和理解</w:t>
            </w:r>
          </w:p>
          <w:p w14:paraId="3B51828C" w14:textId="77777777" w:rsidR="0016468E" w:rsidRDefault="0016468E" w:rsidP="00977DE0">
            <w:pPr>
              <w:rPr>
                <w:rFonts w:ascii="宋体" w:eastAsia="宋体" w:hAnsi="宋体" w:cs="宋体"/>
                <w:bCs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2.</w:t>
            </w:r>
            <w:r w:rsidR="0029539E">
              <w:rPr>
                <w:rFonts w:ascii="宋体" w:eastAsia="宋体" w:hAnsi="宋体" w:cs="宋体" w:hint="eastAsia"/>
                <w:bCs/>
                <w:sz w:val="21"/>
                <w:szCs w:val="21"/>
              </w:rPr>
              <w:t>梳理常见的“做法”所对应的“作用”表述，提高考场作答的效率和质量。如立法→让……有法可依，提供法律依据；党的领导→为</w:t>
            </w:r>
            <w:r w:rsidR="0029539E" w:rsidRPr="0029539E">
              <w:rPr>
                <w:rFonts w:ascii="宋体" w:eastAsia="宋体" w:hAnsi="宋体" w:cs="宋体" w:hint="eastAsia"/>
                <w:bCs/>
                <w:sz w:val="21"/>
                <w:szCs w:val="21"/>
              </w:rPr>
              <w:t>……</w:t>
            </w:r>
            <w:r w:rsidR="0029539E">
              <w:rPr>
                <w:rFonts w:ascii="宋体" w:eastAsia="宋体" w:hAnsi="宋体" w:cs="宋体" w:hint="eastAsia"/>
                <w:bCs/>
                <w:sz w:val="21"/>
                <w:szCs w:val="21"/>
              </w:rPr>
              <w:t>提供根本保证；</w:t>
            </w:r>
            <w:proofErr w:type="gramStart"/>
            <w:r w:rsidR="0029539E">
              <w:rPr>
                <w:rFonts w:ascii="宋体" w:eastAsia="宋体" w:hAnsi="宋体" w:cs="宋体" w:hint="eastAsia"/>
                <w:bCs/>
                <w:sz w:val="21"/>
                <w:szCs w:val="21"/>
              </w:rPr>
              <w:t>数智赋能</w:t>
            </w:r>
            <w:proofErr w:type="gramEnd"/>
            <w:r w:rsidR="0029539E">
              <w:rPr>
                <w:rFonts w:ascii="宋体" w:eastAsia="宋体" w:hAnsi="宋体" w:cs="宋体" w:hint="eastAsia"/>
                <w:bCs/>
                <w:sz w:val="21"/>
                <w:szCs w:val="21"/>
              </w:rPr>
              <w:t>→提高效能等</w:t>
            </w:r>
          </w:p>
          <w:p w14:paraId="57B78A8B" w14:textId="4967E16E" w:rsidR="0029539E" w:rsidRPr="00977DE0" w:rsidRDefault="0029539E" w:rsidP="00977DE0">
            <w:pPr>
              <w:rPr>
                <w:rFonts w:ascii="宋体" w:eastAsia="宋体" w:hAnsi="宋体" w:cs="宋体" w:hint="eastAsia"/>
                <w:bCs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3.强化常规题答题结构训练，</w:t>
            </w:r>
            <w:r w:rsidR="00EA7F10">
              <w:rPr>
                <w:rFonts w:ascii="宋体" w:eastAsia="宋体" w:hAnsi="宋体" w:cs="宋体" w:hint="eastAsia"/>
                <w:bCs/>
                <w:sz w:val="21"/>
                <w:szCs w:val="21"/>
              </w:rPr>
              <w:t>要求学生</w:t>
            </w:r>
            <w:r w:rsidR="00EA7F10" w:rsidRPr="00EA7F10">
              <w:rPr>
                <w:rFonts w:ascii="宋体" w:eastAsia="宋体" w:hAnsi="宋体" w:cs="宋体" w:hint="eastAsia"/>
                <w:bCs/>
                <w:sz w:val="21"/>
                <w:szCs w:val="21"/>
              </w:rPr>
              <w:t>规范作答、逻辑完整，</w:t>
            </w:r>
            <w:r w:rsidR="00EA7F10">
              <w:rPr>
                <w:rFonts w:ascii="宋体" w:eastAsia="宋体" w:hAnsi="宋体" w:cs="宋体" w:hint="eastAsia"/>
                <w:bCs/>
                <w:sz w:val="21"/>
                <w:szCs w:val="21"/>
              </w:rPr>
              <w:t>切忌“瞎溜达式”答题。</w:t>
            </w:r>
          </w:p>
        </w:tc>
      </w:tr>
      <w:tr w:rsidR="001F1C0B" w14:paraId="43E9B3C5" w14:textId="77777777" w:rsidTr="00F61162">
        <w:tc>
          <w:tcPr>
            <w:tcW w:w="265" w:type="pct"/>
            <w:vAlign w:val="center"/>
          </w:tcPr>
          <w:p w14:paraId="241AF0F3" w14:textId="77777777" w:rsidR="00576A5E" w:rsidRDefault="001F1C0B" w:rsidP="00977DE0">
            <w:pPr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优秀答卷</w:t>
            </w:r>
          </w:p>
          <w:p w14:paraId="5FF43065" w14:textId="44D47AC8" w:rsidR="009213C5" w:rsidRDefault="009213C5" w:rsidP="00977DE0">
            <w:pP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4735" w:type="pct"/>
            <w:gridSpan w:val="4"/>
          </w:tcPr>
          <w:p w14:paraId="45655C46" w14:textId="77777777" w:rsidR="009213C5" w:rsidRDefault="009213C5">
            <w:pPr>
              <w:jc w:val="both"/>
              <w:rPr>
                <w:rFonts w:ascii="宋体" w:eastAsia="宋体" w:hAnsi="宋体" w:cs="宋体" w:hint="eastAsia"/>
                <w:b/>
                <w:noProof/>
                <w:color w:val="FF0000"/>
                <w:sz w:val="21"/>
                <w:szCs w:val="21"/>
              </w:rPr>
            </w:pPr>
          </w:p>
          <w:p w14:paraId="43F084F6" w14:textId="6E461CF6" w:rsidR="009213C5" w:rsidRDefault="009213C5">
            <w:pPr>
              <w:jc w:val="both"/>
              <w:rPr>
                <w:rFonts w:ascii="宋体" w:eastAsia="宋体" w:hAnsi="宋体" w:cs="宋体" w:hint="eastAsia"/>
                <w:b/>
                <w:noProof/>
                <w:color w:val="FF0000"/>
                <w:sz w:val="21"/>
                <w:szCs w:val="21"/>
              </w:rPr>
            </w:pPr>
            <w:r w:rsidRPr="009213C5">
              <w:rPr>
                <w:rFonts w:ascii="宋体" w:eastAsia="宋体" w:hAnsi="宋体" w:cs="宋体"/>
                <w:b/>
                <w:noProof/>
                <w:color w:val="FF0000"/>
                <w:sz w:val="21"/>
                <w:szCs w:val="21"/>
              </w:rPr>
              <w:drawing>
                <wp:inline distT="0" distB="0" distL="0" distR="0" wp14:anchorId="2C134C1A" wp14:editId="08F1B303">
                  <wp:extent cx="5133975" cy="2350483"/>
                  <wp:effectExtent l="0" t="0" r="0" b="0"/>
                  <wp:docPr id="15321219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6021" cy="2360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99B66A" w14:textId="4C63DC34" w:rsidR="009213C5" w:rsidRDefault="009213C5">
            <w:pPr>
              <w:jc w:val="both"/>
              <w:rPr>
                <w:rFonts w:ascii="宋体" w:eastAsia="宋体" w:hAnsi="宋体" w:cs="宋体"/>
                <w:b/>
                <w:noProof/>
                <w:color w:val="FF0000"/>
                <w:sz w:val="21"/>
                <w:szCs w:val="21"/>
              </w:rPr>
            </w:pPr>
            <w:r w:rsidRPr="009213C5">
              <w:rPr>
                <w:rFonts w:ascii="宋体" w:eastAsia="宋体" w:hAnsi="宋体" w:cs="宋体"/>
                <w:b/>
                <w:noProof/>
                <w:color w:val="FF0000"/>
                <w:sz w:val="21"/>
                <w:szCs w:val="21"/>
              </w:rPr>
              <w:drawing>
                <wp:inline distT="0" distB="0" distL="0" distR="0" wp14:anchorId="2E038DCF" wp14:editId="277D31F1">
                  <wp:extent cx="5119688" cy="2588211"/>
                  <wp:effectExtent l="0" t="0" r="5080" b="3175"/>
                  <wp:docPr id="192418473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5577" cy="26012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4A7EA8" w14:textId="5F86AC35" w:rsidR="005D2D30" w:rsidRDefault="005D2D30">
            <w:pPr>
              <w:jc w:val="both"/>
              <w:rPr>
                <w:rFonts w:ascii="宋体" w:eastAsia="宋体" w:hAnsi="宋体" w:cs="宋体"/>
                <w:b/>
                <w:color w:val="FF0000"/>
                <w:sz w:val="21"/>
                <w:szCs w:val="21"/>
              </w:rPr>
            </w:pPr>
          </w:p>
        </w:tc>
      </w:tr>
      <w:tr w:rsidR="001F1C0B" w14:paraId="7C55E016" w14:textId="77777777" w:rsidTr="00F61162">
        <w:trPr>
          <w:trHeight w:val="2258"/>
        </w:trPr>
        <w:tc>
          <w:tcPr>
            <w:tcW w:w="265" w:type="pct"/>
            <w:vAlign w:val="center"/>
          </w:tcPr>
          <w:p w14:paraId="2BE37998" w14:textId="76629BBA" w:rsidR="00576A5E" w:rsidRDefault="001F1C0B" w:rsidP="00977DE0">
            <w:pPr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lastRenderedPageBreak/>
              <w:t>典型错误</w:t>
            </w:r>
            <w:r w:rsidR="00621AD8"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答卷</w:t>
            </w:r>
          </w:p>
        </w:tc>
        <w:tc>
          <w:tcPr>
            <w:tcW w:w="4735" w:type="pct"/>
            <w:gridSpan w:val="4"/>
          </w:tcPr>
          <w:p w14:paraId="6B41EAFD" w14:textId="75EA4F3F" w:rsidR="00CF7F93" w:rsidRDefault="004F3DDE">
            <w:pPr>
              <w:rPr>
                <w:rFonts w:ascii="宋体" w:eastAsia="宋体" w:hAnsi="宋体" w:cs="宋体"/>
                <w:b/>
                <w:noProof/>
                <w:color w:val="FF0000"/>
                <w:sz w:val="21"/>
                <w:szCs w:val="21"/>
              </w:rPr>
            </w:pPr>
            <w:r w:rsidRPr="004F3DDE">
              <w:rPr>
                <w:rFonts w:ascii="宋体" w:eastAsia="宋体" w:hAnsi="宋体" w:cs="宋体"/>
                <w:b/>
                <w:noProof/>
                <w:color w:val="FF0000"/>
                <w:sz w:val="21"/>
                <w:szCs w:val="21"/>
              </w:rPr>
              <w:drawing>
                <wp:inline distT="0" distB="0" distL="0" distR="0" wp14:anchorId="21DD21E0" wp14:editId="5B46000F">
                  <wp:extent cx="5041430" cy="2671762"/>
                  <wp:effectExtent l="0" t="0" r="6985" b="0"/>
                  <wp:docPr id="157833671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7356" cy="2674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B87060" w14:textId="77777777" w:rsidR="00F61162" w:rsidRDefault="00F61162">
            <w:pPr>
              <w:rPr>
                <w:rFonts w:ascii="宋体" w:eastAsia="宋体" w:hAnsi="宋体" w:cs="宋体" w:hint="eastAsia"/>
                <w:b/>
                <w:noProof/>
                <w:color w:val="FF0000"/>
                <w:sz w:val="21"/>
                <w:szCs w:val="21"/>
              </w:rPr>
            </w:pPr>
          </w:p>
          <w:p w14:paraId="4E49B29C" w14:textId="315E5235" w:rsidR="001F1C0B" w:rsidRDefault="004F3DDE">
            <w:pPr>
              <w:rPr>
                <w:rFonts w:ascii="宋体" w:eastAsia="宋体" w:hAnsi="宋体" w:cs="宋体" w:hint="eastAsia"/>
                <w:b/>
                <w:color w:val="FF0000"/>
                <w:sz w:val="21"/>
                <w:szCs w:val="21"/>
              </w:rPr>
            </w:pPr>
            <w:r w:rsidRPr="004F3DDE">
              <w:rPr>
                <w:rFonts w:ascii="宋体" w:eastAsia="宋体" w:hAnsi="宋体" w:cs="宋体"/>
                <w:b/>
                <w:noProof/>
                <w:color w:val="FF0000"/>
                <w:sz w:val="21"/>
                <w:szCs w:val="21"/>
              </w:rPr>
              <w:drawing>
                <wp:inline distT="0" distB="0" distL="0" distR="0" wp14:anchorId="5DCC2666" wp14:editId="35AA2479">
                  <wp:extent cx="5038725" cy="2594846"/>
                  <wp:effectExtent l="0" t="0" r="0" b="0"/>
                  <wp:docPr id="13718646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54976" cy="2603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82AEE5" w14:textId="77777777" w:rsidR="00576A5E" w:rsidRDefault="00576A5E">
      <w:pPr>
        <w:rPr>
          <w:rFonts w:ascii="宋体" w:eastAsia="宋体" w:hAnsi="宋体" w:cs="宋体"/>
          <w:sz w:val="21"/>
          <w:szCs w:val="21"/>
        </w:rPr>
      </w:pPr>
    </w:p>
    <w:sectPr w:rsidR="00576A5E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38BCF1" w14:textId="77777777" w:rsidR="003F21BC" w:rsidRDefault="003F21BC">
      <w:pPr>
        <w:spacing w:after="0"/>
      </w:pPr>
      <w:r>
        <w:separator/>
      </w:r>
    </w:p>
  </w:endnote>
  <w:endnote w:type="continuationSeparator" w:id="0">
    <w:p w14:paraId="3E687F2E" w14:textId="77777777" w:rsidR="003F21BC" w:rsidRDefault="003F21B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C93556" w14:textId="77777777" w:rsidR="003F21BC" w:rsidRDefault="003F21BC">
      <w:pPr>
        <w:spacing w:after="0"/>
      </w:pPr>
      <w:r>
        <w:separator/>
      </w:r>
    </w:p>
  </w:footnote>
  <w:footnote w:type="continuationSeparator" w:id="0">
    <w:p w14:paraId="162AE869" w14:textId="77777777" w:rsidR="003F21BC" w:rsidRDefault="003F21B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6009A"/>
    <w:multiLevelType w:val="hybridMultilevel"/>
    <w:tmpl w:val="80AA9122"/>
    <w:lvl w:ilvl="0" w:tplc="D5DACD8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B6D0E5F"/>
    <w:multiLevelType w:val="hybridMultilevel"/>
    <w:tmpl w:val="1F86B3D4"/>
    <w:lvl w:ilvl="0" w:tplc="40D0BA82">
      <w:start w:val="1"/>
      <w:numFmt w:val="bullet"/>
      <w:lvlText w:val="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BC9492E"/>
    <w:multiLevelType w:val="multilevel"/>
    <w:tmpl w:val="0BC949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4BE6149"/>
    <w:multiLevelType w:val="hybridMultilevel"/>
    <w:tmpl w:val="9620E1AA"/>
    <w:lvl w:ilvl="0" w:tplc="B280724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9895828"/>
    <w:multiLevelType w:val="hybridMultilevel"/>
    <w:tmpl w:val="09D6A31C"/>
    <w:lvl w:ilvl="0" w:tplc="FB28DD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9042AAD"/>
    <w:multiLevelType w:val="hybridMultilevel"/>
    <w:tmpl w:val="7D127DC2"/>
    <w:lvl w:ilvl="0" w:tplc="8452AA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79B05F5"/>
    <w:multiLevelType w:val="hybridMultilevel"/>
    <w:tmpl w:val="45B24592"/>
    <w:lvl w:ilvl="0" w:tplc="FED6EEDE">
      <w:start w:val="1"/>
      <w:numFmt w:val="decimal"/>
      <w:lvlText w:val="%1."/>
      <w:lvlJc w:val="left"/>
      <w:pPr>
        <w:ind w:left="8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0" w:hanging="420"/>
      </w:pPr>
    </w:lvl>
    <w:lvl w:ilvl="2" w:tplc="0409001B" w:tentative="1">
      <w:start w:val="1"/>
      <w:numFmt w:val="lowerRoman"/>
      <w:lvlText w:val="%3."/>
      <w:lvlJc w:val="right"/>
      <w:pPr>
        <w:ind w:left="1730" w:hanging="420"/>
      </w:pPr>
    </w:lvl>
    <w:lvl w:ilvl="3" w:tplc="0409000F" w:tentative="1">
      <w:start w:val="1"/>
      <w:numFmt w:val="decimal"/>
      <w:lvlText w:val="%4."/>
      <w:lvlJc w:val="left"/>
      <w:pPr>
        <w:ind w:left="2150" w:hanging="420"/>
      </w:pPr>
    </w:lvl>
    <w:lvl w:ilvl="4" w:tplc="04090019" w:tentative="1">
      <w:start w:val="1"/>
      <w:numFmt w:val="lowerLetter"/>
      <w:lvlText w:val="%5)"/>
      <w:lvlJc w:val="left"/>
      <w:pPr>
        <w:ind w:left="2570" w:hanging="420"/>
      </w:pPr>
    </w:lvl>
    <w:lvl w:ilvl="5" w:tplc="0409001B" w:tentative="1">
      <w:start w:val="1"/>
      <w:numFmt w:val="lowerRoman"/>
      <w:lvlText w:val="%6."/>
      <w:lvlJc w:val="right"/>
      <w:pPr>
        <w:ind w:left="2990" w:hanging="420"/>
      </w:pPr>
    </w:lvl>
    <w:lvl w:ilvl="6" w:tplc="0409000F" w:tentative="1">
      <w:start w:val="1"/>
      <w:numFmt w:val="decimal"/>
      <w:lvlText w:val="%7."/>
      <w:lvlJc w:val="left"/>
      <w:pPr>
        <w:ind w:left="3410" w:hanging="420"/>
      </w:pPr>
    </w:lvl>
    <w:lvl w:ilvl="7" w:tplc="04090019" w:tentative="1">
      <w:start w:val="1"/>
      <w:numFmt w:val="lowerLetter"/>
      <w:lvlText w:val="%8)"/>
      <w:lvlJc w:val="left"/>
      <w:pPr>
        <w:ind w:left="3830" w:hanging="420"/>
      </w:pPr>
    </w:lvl>
    <w:lvl w:ilvl="8" w:tplc="0409001B" w:tentative="1">
      <w:start w:val="1"/>
      <w:numFmt w:val="lowerRoman"/>
      <w:lvlText w:val="%9."/>
      <w:lvlJc w:val="right"/>
      <w:pPr>
        <w:ind w:left="4250" w:hanging="420"/>
      </w:pPr>
    </w:lvl>
  </w:abstractNum>
  <w:abstractNum w:abstractNumId="7" w15:restartNumberingAfterBreak="0">
    <w:nsid w:val="51336729"/>
    <w:multiLevelType w:val="hybridMultilevel"/>
    <w:tmpl w:val="DCC4E61A"/>
    <w:lvl w:ilvl="0" w:tplc="A726C7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D2A50A5"/>
    <w:multiLevelType w:val="hybridMultilevel"/>
    <w:tmpl w:val="EE88989E"/>
    <w:lvl w:ilvl="0" w:tplc="E07EF7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62E40A32"/>
    <w:multiLevelType w:val="hybridMultilevel"/>
    <w:tmpl w:val="78BC1F40"/>
    <w:lvl w:ilvl="0" w:tplc="2E40B33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4A43A03"/>
    <w:multiLevelType w:val="hybridMultilevel"/>
    <w:tmpl w:val="1584ABCC"/>
    <w:lvl w:ilvl="0" w:tplc="761EDFC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5275D67"/>
    <w:multiLevelType w:val="hybridMultilevel"/>
    <w:tmpl w:val="DB2CCCC8"/>
    <w:lvl w:ilvl="0" w:tplc="C71290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BEB7259"/>
    <w:multiLevelType w:val="multilevel"/>
    <w:tmpl w:val="6BEB725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9A745BA"/>
    <w:multiLevelType w:val="hybridMultilevel"/>
    <w:tmpl w:val="4E022F60"/>
    <w:lvl w:ilvl="0" w:tplc="40D0BA82">
      <w:start w:val="1"/>
      <w:numFmt w:val="bullet"/>
      <w:lvlText w:val="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63430857">
    <w:abstractNumId w:val="2"/>
  </w:num>
  <w:num w:numId="2" w16cid:durableId="749619354">
    <w:abstractNumId w:val="12"/>
  </w:num>
  <w:num w:numId="3" w16cid:durableId="849369647">
    <w:abstractNumId w:val="11"/>
  </w:num>
  <w:num w:numId="4" w16cid:durableId="894894798">
    <w:abstractNumId w:val="3"/>
  </w:num>
  <w:num w:numId="5" w16cid:durableId="493880070">
    <w:abstractNumId w:val="10"/>
  </w:num>
  <w:num w:numId="6" w16cid:durableId="276529041">
    <w:abstractNumId w:val="0"/>
  </w:num>
  <w:num w:numId="7" w16cid:durableId="1986348508">
    <w:abstractNumId w:val="9"/>
  </w:num>
  <w:num w:numId="8" w16cid:durableId="252055203">
    <w:abstractNumId w:val="6"/>
  </w:num>
  <w:num w:numId="9" w16cid:durableId="158817648">
    <w:abstractNumId w:val="4"/>
  </w:num>
  <w:num w:numId="10" w16cid:durableId="1004162606">
    <w:abstractNumId w:val="5"/>
  </w:num>
  <w:num w:numId="11" w16cid:durableId="203641128">
    <w:abstractNumId w:val="7"/>
  </w:num>
  <w:num w:numId="12" w16cid:durableId="648287111">
    <w:abstractNumId w:val="8"/>
  </w:num>
  <w:num w:numId="13" w16cid:durableId="524947006">
    <w:abstractNumId w:val="1"/>
  </w:num>
  <w:num w:numId="14" w16cid:durableId="15044675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E2MGRiZmI0MDE5NDk5Y2IxODc4NGFmMDc2NzJiOTUifQ=="/>
  </w:docVars>
  <w:rsids>
    <w:rsidRoot w:val="00D31D50"/>
    <w:rsid w:val="00016BE1"/>
    <w:rsid w:val="000C06A7"/>
    <w:rsid w:val="000C6E5C"/>
    <w:rsid w:val="000D5DD7"/>
    <w:rsid w:val="000F6DAF"/>
    <w:rsid w:val="00114BB9"/>
    <w:rsid w:val="0016468E"/>
    <w:rsid w:val="001D1437"/>
    <w:rsid w:val="001F1C0B"/>
    <w:rsid w:val="0020584B"/>
    <w:rsid w:val="00266422"/>
    <w:rsid w:val="0029539E"/>
    <w:rsid w:val="002D6B49"/>
    <w:rsid w:val="002F2D5A"/>
    <w:rsid w:val="00323B43"/>
    <w:rsid w:val="0038169F"/>
    <w:rsid w:val="00390365"/>
    <w:rsid w:val="003D37D8"/>
    <w:rsid w:val="003F21BC"/>
    <w:rsid w:val="00417716"/>
    <w:rsid w:val="00426133"/>
    <w:rsid w:val="004358AB"/>
    <w:rsid w:val="00452BC0"/>
    <w:rsid w:val="00490B13"/>
    <w:rsid w:val="004E15C8"/>
    <w:rsid w:val="004F3DDE"/>
    <w:rsid w:val="00523F34"/>
    <w:rsid w:val="00524FA7"/>
    <w:rsid w:val="005268F2"/>
    <w:rsid w:val="00535BCF"/>
    <w:rsid w:val="00576A5E"/>
    <w:rsid w:val="005A4D13"/>
    <w:rsid w:val="005D2D30"/>
    <w:rsid w:val="005E4C71"/>
    <w:rsid w:val="00621AD8"/>
    <w:rsid w:val="00652EAE"/>
    <w:rsid w:val="00781B64"/>
    <w:rsid w:val="007F78A2"/>
    <w:rsid w:val="008B7726"/>
    <w:rsid w:val="009070DC"/>
    <w:rsid w:val="009213C5"/>
    <w:rsid w:val="00977DE0"/>
    <w:rsid w:val="009D77C5"/>
    <w:rsid w:val="009E6759"/>
    <w:rsid w:val="009F0266"/>
    <w:rsid w:val="00A12E9E"/>
    <w:rsid w:val="00A22AEF"/>
    <w:rsid w:val="00A61928"/>
    <w:rsid w:val="00AB70F0"/>
    <w:rsid w:val="00AE5EF8"/>
    <w:rsid w:val="00B20DE3"/>
    <w:rsid w:val="00B30552"/>
    <w:rsid w:val="00B65A29"/>
    <w:rsid w:val="00B76D0C"/>
    <w:rsid w:val="00B770FE"/>
    <w:rsid w:val="00B86940"/>
    <w:rsid w:val="00B96CBF"/>
    <w:rsid w:val="00BB2CD7"/>
    <w:rsid w:val="00C04CF5"/>
    <w:rsid w:val="00C729A5"/>
    <w:rsid w:val="00CC19B1"/>
    <w:rsid w:val="00CD30B3"/>
    <w:rsid w:val="00CE6160"/>
    <w:rsid w:val="00CF7F93"/>
    <w:rsid w:val="00D17F58"/>
    <w:rsid w:val="00D24557"/>
    <w:rsid w:val="00D309A0"/>
    <w:rsid w:val="00D31D50"/>
    <w:rsid w:val="00D42D92"/>
    <w:rsid w:val="00D61525"/>
    <w:rsid w:val="00D821F1"/>
    <w:rsid w:val="00DB779A"/>
    <w:rsid w:val="00DE7274"/>
    <w:rsid w:val="00E311F1"/>
    <w:rsid w:val="00E42BF8"/>
    <w:rsid w:val="00EA7F10"/>
    <w:rsid w:val="00EB39C9"/>
    <w:rsid w:val="00F25099"/>
    <w:rsid w:val="00F45C46"/>
    <w:rsid w:val="00F61162"/>
    <w:rsid w:val="00FC1E6B"/>
    <w:rsid w:val="10115C79"/>
    <w:rsid w:val="12AC1D6E"/>
    <w:rsid w:val="16871A7C"/>
    <w:rsid w:val="34382384"/>
    <w:rsid w:val="3ABA272C"/>
    <w:rsid w:val="45EC7227"/>
    <w:rsid w:val="51A636E8"/>
    <w:rsid w:val="54141C6D"/>
    <w:rsid w:val="62527F02"/>
    <w:rsid w:val="6B5652C2"/>
    <w:rsid w:val="78316116"/>
    <w:rsid w:val="78B96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E9A1CD"/>
  <w15:docId w15:val="{E6C0A66F-6F5E-4693-9D37-5BFA05FA2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eastAsia="微软雅黑" w:hAnsi="Tahoma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qFormat/>
    <w:pPr>
      <w:ind w:leftChars="2500" w:left="10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rFonts w:ascii="Tahoma" w:hAnsi="Tahoma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ahoma" w:hAnsi="Tahoma"/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qFormat/>
    <w:rPr>
      <w:rFonts w:ascii="Tahoma" w:hAnsi="Tahoma"/>
    </w:rPr>
  </w:style>
  <w:style w:type="paragraph" w:styleId="a9">
    <w:name w:val="List Paragraph"/>
    <w:basedOn w:val="a"/>
    <w:uiPriority w:val="9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C433A6-AE81-41AE-9EAD-6A8D6AD98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若娟 李</cp:lastModifiedBy>
  <cp:revision>11</cp:revision>
  <dcterms:created xsi:type="dcterms:W3CDTF">2024-05-08T22:37:00Z</dcterms:created>
  <dcterms:modified xsi:type="dcterms:W3CDTF">2024-05-09T15:23:00Z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F3A3AAE18C2D4B238FCCA3872BDE8B3F</vt:lpwstr>
  </property>
</Properties>
</file>