
<file path=[Content_Types].xml><?xml version="1.0" encoding="utf-8"?>
<Types xmlns="http://schemas.openxmlformats.org/package/2006/content-types">
  <Default Extension="xml" ContentType="application/xml"/>
  <Default Extension="png" ContentType="image/png"/>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680" w:firstLineChars="8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2024届各区一模试题分类  </w:t>
      </w: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 xml:space="preserve">必修2 </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经济与社会</w:t>
      </w:r>
      <w:r>
        <w:rPr>
          <w:rFonts w:hint="eastAsia" w:ascii="宋体" w:hAnsi="宋体" w:eastAsia="宋体"/>
          <w:color w:val="000000" w:themeColor="text1"/>
          <w14:textFill>
            <w14:solidFill>
              <w14:schemeClr w14:val="tx1"/>
            </w14:solidFill>
          </w14:textFill>
        </w:rPr>
        <w:t>》</w:t>
      </w:r>
    </w:p>
    <w:p>
      <w:pPr>
        <w:ind w:firstLine="2310" w:firstLineChars="1100"/>
        <w:rPr>
          <w:rFonts w:ascii="宋体" w:hAnsi="宋体" w:eastAsia="宋体"/>
          <w:color w:val="000000" w:themeColor="text1"/>
          <w14:textFill>
            <w14:solidFill>
              <w14:schemeClr w14:val="tx1"/>
            </w14:solidFill>
          </w14:textFill>
        </w:rPr>
      </w:pPr>
    </w:p>
    <w:p>
      <w:pPr>
        <w:ind w:firstLine="2741" w:firstLineChars="1300"/>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第一课   我国的生产资料所有制</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1.（2024丰台一模</w:t>
      </w:r>
      <w:r>
        <w:rPr>
          <w:rFonts w:ascii="宋体" w:hAnsi="宋体" w:eastAsia="宋体"/>
          <w:color w:val="000000" w:themeColor="text1"/>
          <w14:textFill>
            <w14:solidFill>
              <w14:schemeClr w14:val="tx1"/>
            </w14:solidFill>
          </w14:textFill>
        </w:rPr>
        <w:t>12</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围绕促进民营经济发展壮大,一系列重磅政策出台落地,破除壁垒、要素支持、保护权益，</w:t>
      </w:r>
      <w:r>
        <w:rPr>
          <w:rFonts w:hint="eastAsia" w:ascii="宋体" w:hAnsi="宋体" w:eastAsia="宋体"/>
          <w:color w:val="000000" w:themeColor="text1"/>
          <w14:textFill>
            <w14:solidFill>
              <w14:schemeClr w14:val="tx1"/>
            </w14:solidFill>
          </w14:textFill>
        </w:rPr>
        <w:t>民营经济恢复向好发展因素持续累积</w:t>
      </w:r>
      <w:r>
        <w:rPr>
          <w:rFonts w:ascii="宋体" w:hAnsi="宋体" w:eastAsia="宋体"/>
          <w:color w:val="000000" w:themeColor="text1"/>
          <w14:textFill>
            <w14:solidFill>
              <w14:schemeClr w14:val="tx1"/>
            </w14:solidFill>
          </w14:textFill>
        </w:rPr>
        <w:t>,展现出强大的经济韧性和活力。关于发展民营经济,下列理解正确的是</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①民营企业要制定正确的经营战略</w:t>
      </w:r>
      <w:r>
        <w:rPr>
          <w:rFonts w:ascii="宋体" w:hAnsi="宋体" w:eastAsia="宋体"/>
          <w:color w:val="000000" w:themeColor="text1"/>
          <w14:textFill>
            <w14:solidFill>
              <w14:schemeClr w14:val="tx1"/>
            </w14:solidFill>
          </w14:textFill>
        </w:rPr>
        <w:t>,持续提质增效,追求高质量发展</w:t>
      </w:r>
    </w:p>
    <w:p>
      <w:pPr>
        <w:rPr>
          <w:rFonts w:ascii="宋体" w:hAnsi="宋体" w:eastAsia="宋体"/>
          <w:color w:val="000000" w:themeColor="text1"/>
          <w14:textFill>
            <w14:solidFill>
              <w14:schemeClr w14:val="tx1"/>
            </w14:solidFill>
          </w14:textFill>
        </w:rPr>
      </w:pPr>
      <w:bookmarkStart w:id="3" w:name="_GoBack"/>
      <w:bookmarkEnd w:id="3"/>
      <w:r>
        <w:rPr>
          <w:rFonts w:ascii="宋体" w:hAnsi="宋体" w:eastAsia="宋体"/>
          <w:color w:val="000000" w:themeColor="text1"/>
          <w14:textFill>
            <w14:solidFill>
              <w14:schemeClr w14:val="tx1"/>
            </w14:solidFill>
          </w14:textFill>
        </w:rPr>
        <w:t>②政府深化要素市场化配置改革，有利于民营企业公平参与市场竞争</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③民营企业加大科技研发投入，有利于增强其在国民经济中的控制力</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④政府实施知识产权侵权惩罚性赔偿制度,提高企业专利成果转化能力</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 ②④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r>
        <w:rPr>
          <w:rFonts w:ascii="宋体" w:hAnsi="宋体" w:eastAsia="宋体"/>
          <w:color w:val="000000" w:themeColor="text1"/>
          <w14:textFill>
            <w14:solidFill>
              <w14:schemeClr w14:val="tx1"/>
            </w14:solidFill>
          </w14:textFill>
        </w:rPr>
        <w:tab/>
      </w:r>
    </w:p>
    <w:p>
      <w:pPr>
        <w:rPr>
          <w:rFonts w:ascii="宋体" w:hAnsi="宋体" w:eastAsia="宋体"/>
          <w:color w:val="000000" w:themeColor="text1"/>
          <w14:textFill>
            <w14:solidFill>
              <w14:schemeClr w14:val="tx1"/>
            </w14:solidFill>
          </w14:textFill>
        </w:rPr>
      </w:pPr>
    </w:p>
    <w:p>
      <w:pPr>
        <w:ind w:firstLine="2741" w:firstLineChars="1300"/>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 xml:space="preserve">第二课   </w:t>
      </w:r>
      <w:r>
        <w:rPr>
          <w:rFonts w:ascii="宋体" w:hAnsi="宋体" w:eastAsia="宋体"/>
          <w:b/>
          <w:bCs/>
          <w:color w:val="000000" w:themeColor="text1"/>
          <w14:textFill>
            <w14:solidFill>
              <w14:schemeClr w14:val="tx1"/>
            </w14:solidFill>
          </w14:textFill>
        </w:rPr>
        <w:t>我国的社会主义市场经济体制</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1.（2024东城一模12）</w:t>
      </w:r>
      <w:r>
        <w:rPr>
          <w:rFonts w:ascii="宋体" w:hAnsi="宋体" w:eastAsia="宋体"/>
          <w:color w:val="000000" w:themeColor="text1"/>
          <w14:textFill>
            <w14:solidFill>
              <w14:schemeClr w14:val="tx1"/>
            </w14:solidFill>
          </w14:textFill>
        </w:rPr>
        <w:t xml:space="preserve"> 民营经济是推进中国式现代化的生力军,是高质量发展的重要基础。近年来,我国</w:t>
      </w:r>
      <w:r>
        <w:rPr>
          <w:rFonts w:hint="eastAsia" w:ascii="宋体" w:hAnsi="宋体" w:eastAsia="宋体"/>
          <w:color w:val="000000" w:themeColor="text1"/>
          <w14:textFill>
            <w14:solidFill>
              <w14:schemeClr w14:val="tx1"/>
            </w14:solidFill>
          </w14:textFill>
        </w:rPr>
        <w:t>持续优化民营经济发展环境，不断增强民营企业韧性，充分激发民营经济生机活力。若不考虑其他因素</w:t>
      </w:r>
      <w:r>
        <w:rPr>
          <w:rFonts w:ascii="宋体" w:hAnsi="宋体" w:eastAsia="宋体"/>
          <w:color w:val="000000" w:themeColor="text1"/>
          <w14:textFill>
            <w14:solidFill>
              <w14:schemeClr w14:val="tx1"/>
            </w14:solidFill>
          </w14:textFill>
        </w:rPr>
        <w:t>,下列推导正确的是</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①加强公平执法→平等保护民营企业产权→稳定民营企业良好预期→激励民营企业家创业创新</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②下调金融机构存款准备金率→加大信贷投放力度→降低民营企业融资成本→增加民营企业利润</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③破除市场准入壁垒→拓宽民营企业投资渠道→降低民营企业投资风险→提高民营企业市场占有率</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④实施组合式税费支持政策→加大增值税留抵退税→缓解民营企业资金压力→提振民营企业市场信心</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C.②③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2.（2024海淀12）为更好满足旅客群体多样化、个性化的需求，今年春运期间，高铁列车在增加“静音车厢”的基础上开设“遛娃舱”，供带娃家庭使用。家长可以陪伴孩子一起玩游戏，也可以委托乘务员进行代管。高铁“溜娃舱”的设置</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①体现铁路企业主动作为，为不同需求的旅客带来良好出行体验</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②有利于缓解春运高铁运力的供求矛盾，激发各类市场主体活力</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③表明政府更精准地解决群众实际问题，着力实现社会公平正义</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④将儿童友好的理念和行动落实落细，满足人民的美好生活需要</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B.①④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C.②③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bookmarkStart w:id="0" w:name="_Hlk163922899"/>
      <w:r>
        <w:rPr>
          <w:rFonts w:hint="eastAsia" w:ascii="宋体" w:hAnsi="宋体" w:eastAsia="宋体"/>
          <w:color w:val="000000" w:themeColor="text1"/>
          <w14:textFill>
            <w14:solidFill>
              <w14:schemeClr w14:val="tx1"/>
            </w14:solidFill>
          </w14:textFill>
        </w:rPr>
        <w:t>3.（2024门头沟一模4）</w:t>
      </w:r>
      <w:bookmarkEnd w:id="0"/>
      <w:r>
        <w:rPr>
          <w:rFonts w:hint="eastAsia" w:ascii="宋体" w:hAnsi="宋体" w:eastAsia="宋体"/>
          <w:color w:val="000000" w:themeColor="text1"/>
          <w14:textFill>
            <w14:solidFill>
              <w14:schemeClr w14:val="tx1"/>
            </w14:solidFill>
          </w14:textFill>
        </w:rPr>
        <w:t>C2M是英文Customer-to-Manufacturer的缩写，被称为“短路经济”。C2M模式，用户直连制造商， 消费者直接通过平台下单，工厂接收消费者的个性化需求订单，然后根据需求设计、采购、生产、发货。特点是按需求生产，用户先下单，工厂再生产，没有库销比，消除库存顽疾。</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1100455</wp:posOffset>
            </wp:positionH>
            <wp:positionV relativeFrom="paragraph">
              <wp:posOffset>8255</wp:posOffset>
            </wp:positionV>
            <wp:extent cx="3108960" cy="1245235"/>
            <wp:effectExtent l="0" t="0" r="2540" b="12065"/>
            <wp:wrapTopAndBottom/>
            <wp:docPr id="5" name="图片 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标题-1"/>
                    <pic:cNvPicPr>
                      <a:picLocks noChangeAspect="1"/>
                    </pic:cNvPicPr>
                  </pic:nvPicPr>
                  <pic:blipFill>
                    <a:blip r:embed="rId4"/>
                    <a:stretch>
                      <a:fillRect/>
                    </a:stretch>
                  </pic:blipFill>
                  <pic:spPr>
                    <a:xfrm>
                      <a:off x="0" y="0"/>
                      <a:ext cx="3108960" cy="1245235"/>
                    </a:xfrm>
                    <a:prstGeom prst="rect">
                      <a:avLst/>
                    </a:prstGeom>
                  </pic:spPr>
                </pic:pic>
              </a:graphicData>
            </a:graphic>
          </wp:anchor>
        </w:drawing>
      </w: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如图可知，该电商模式</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①要求政府创新理念，管理新型的工业互联网电子商务事务</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②减少流通环节，使交换更加便捷顺畅，提高了社会生产效率</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③以用户为中心，满足消费多元化需求，能有效激发市场活力</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④实行个性化生产，合理配置资源，提供满足消费需求的公共物品</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A.①②</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B.①④</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bCs/>
          <w:color w:val="000000" w:themeColor="text1"/>
          <w14:textFill>
            <w14:solidFill>
              <w14:schemeClr w14:val="tx1"/>
            </w14:solidFill>
          </w14:textFill>
        </w:rPr>
        <w:t xml:space="preserve"> C.</w:t>
      </w:r>
      <w:r>
        <w:rPr>
          <w:rFonts w:hint="eastAsia" w:ascii="宋体" w:hAnsi="宋体" w:eastAsia="宋体"/>
          <w:color w:val="000000" w:themeColor="text1"/>
          <w14:textFill>
            <w14:solidFill>
              <w14:schemeClr w14:val="tx1"/>
            </w14:solidFill>
          </w14:textFill>
        </w:rPr>
        <w:t>②③</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4.（2024</w:t>
      </w:r>
      <w:r>
        <w:rPr>
          <w:rFonts w:ascii="宋体" w:hAnsi="宋体" w:eastAsia="宋体"/>
          <w:color w:val="000000" w:themeColor="text1"/>
          <w14:textFill>
            <w14:solidFill>
              <w14:schemeClr w14:val="tx1"/>
            </w14:solidFill>
          </w14:textFill>
        </w:rPr>
        <w:t>门头沟</w:t>
      </w:r>
      <w:r>
        <w:rPr>
          <w:rFonts w:hint="eastAsia" w:ascii="宋体" w:hAnsi="宋体" w:eastAsia="宋体"/>
          <w:color w:val="000000" w:themeColor="text1"/>
          <w14:textFill>
            <w14:solidFill>
              <w14:schemeClr w14:val="tx1"/>
            </w14:solidFill>
          </w14:textFill>
        </w:rPr>
        <w:t>一模6）</w:t>
      </w:r>
      <w:r>
        <w:rPr>
          <w:rFonts w:ascii="宋体" w:hAnsi="宋体" w:eastAsia="宋体"/>
          <w:color w:val="000000" w:themeColor="text1"/>
          <w14:textFill>
            <w14:solidFill>
              <w14:schemeClr w14:val="tx1"/>
            </w14:solidFill>
          </w14:textFill>
        </w:rPr>
        <w:t>《中共中央国务院关于促进民营经济发展壮大的意见》提出，要持续破除市场准入壁垒、完善融资支持政策制度、强化人才和用工需求保障、持续完善知识产权保护体系等。下列对上述政策效应分析正确的</w:t>
      </w:r>
      <w:r>
        <w:rPr>
          <w:rFonts w:hint="eastAsia" w:ascii="宋体" w:hAnsi="宋体" w:eastAsia="宋体"/>
          <w:color w:val="000000" w:themeColor="text1"/>
          <w14:textFill>
            <w14:solidFill>
              <w14:schemeClr w14:val="tx1"/>
            </w14:solidFill>
          </w14:textFill>
        </w:rPr>
        <w:t>是</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①完善融资支持政策→扩大融资规模→降低民营企业融贷风险</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②破除市场准入壁垒→放宽市场准入门槛→激发民营经济发展活力</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③强化人才和用工需求保障→大力推进校企合作→提高劳动者素质和技能</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④完善知识产权保护体系→加大原始创新保护→打击知识产权违法犯罪行为</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w:t>
      </w:r>
      <w:r>
        <w:rPr>
          <w:rFonts w:ascii="宋体" w:hAnsi="宋体" w:eastAsia="宋体"/>
          <w:color w:val="000000" w:themeColor="text1"/>
          <w14:textFill>
            <w14:solidFill>
              <w14:schemeClr w14:val="tx1"/>
            </w14:solidFill>
          </w14:textFill>
        </w:rPr>
        <w:t>①③</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B.</w:t>
      </w:r>
      <w:r>
        <w:rPr>
          <w:rFonts w:ascii="宋体" w:hAnsi="宋体" w:eastAsia="宋体"/>
          <w:color w:val="000000" w:themeColor="text1"/>
          <w14:textFill>
            <w14:solidFill>
              <w14:schemeClr w14:val="tx1"/>
            </w14:solidFill>
          </w14:textFill>
        </w:rPr>
        <w:t>①④</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C.</w:t>
      </w:r>
      <w:r>
        <w:rPr>
          <w:rFonts w:ascii="宋体" w:hAnsi="宋体" w:eastAsia="宋体"/>
          <w:color w:val="000000" w:themeColor="text1"/>
          <w14:textFill>
            <w14:solidFill>
              <w14:schemeClr w14:val="tx1"/>
            </w14:solidFill>
          </w14:textFill>
        </w:rPr>
        <w:t>②③</w:t>
      </w:r>
      <w:r>
        <w:rPr>
          <w:rFonts w:hint="eastAsia"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D.</w:t>
      </w:r>
      <w:r>
        <w:rPr>
          <w:rFonts w:ascii="宋体" w:hAnsi="宋体" w:eastAsia="宋体"/>
          <w:color w:val="000000" w:themeColor="text1"/>
          <w14:textFill>
            <w14:solidFill>
              <w14:schemeClr w14:val="tx1"/>
            </w14:solidFill>
          </w14:textFill>
        </w:rPr>
        <w:t>②④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5.（2024石景山一模</w:t>
      </w:r>
      <w:r>
        <w:rPr>
          <w:rFonts w:ascii="宋体" w:hAnsi="宋体" w:eastAsia="宋体"/>
          <w:color w:val="000000" w:themeColor="text1"/>
          <w14:textFill>
            <w14:solidFill>
              <w14:schemeClr w14:val="tx1"/>
            </w14:solidFill>
          </w14:textFill>
        </w:rPr>
        <w:t>12</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“冰天雪地也是金山银山。”从热闹的冰雪赛到火爆的冰雪游，从美轮美奂的冰雪 雕塑到惊险刺激的冰雪运动，我国冰雪经济正展现出日益广阔的前景。文化、旅游、 体育赛事、健康养老等相关产业与冰雪经济深度融合发展，切实推动冰雪运动、冰 雪文化、冰雪装备、冰雪旅游全产业链发展。冰雪经济的发展有利于</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①需求创造供给，实现跨越发展，持续提升冰雪产业服务水平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②创新消费场景，挖掘消费潜力，实现资源优势转为发展优势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③优化营商环境，引导诚信经营，培育经济高质量发展新引擎</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④创新产品供给，释放产业活力，推动冰雪经济多业态共生发展</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 A．①③ B．①④ C．②③ </w:t>
      </w:r>
      <w:r>
        <w:rPr>
          <w:rFonts w:ascii="宋体" w:hAnsi="宋体" w:eastAsia="宋体"/>
          <w:color w:val="000000" w:themeColor="text1"/>
          <w14:textFill>
            <w14:solidFill>
              <w14:schemeClr w14:val="tx1"/>
            </w14:solidFill>
          </w14:textFill>
        </w:rPr>
        <w:t>D．②④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6.</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2024</w:t>
      </w:r>
      <w:r>
        <w:rPr>
          <w:rFonts w:ascii="宋体" w:hAnsi="宋体" w:eastAsia="宋体"/>
          <w:color w:val="000000" w:themeColor="text1"/>
          <w14:textFill>
            <w14:solidFill>
              <w14:schemeClr w14:val="tx1"/>
            </w14:solidFill>
          </w14:textFill>
        </w:rPr>
        <w:t>石景山一模13</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2023 年 11 月，《关于北京市全面优化营商环境打造“北京服务”的意见》发布。北 京在夯实“北京标准”“北京效率”“北京诚信”的基础上，将全面塑造首善标准、 国际一流的“北京服务”。这有利于</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①发挥标准化在优化营商环境中的基础性作用，强化“北京标准”的引领性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②鼓励更多社会力量投入公共服务领域，优化投资结构、提高公共服务效率</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③推进政府机构职能优化协同高效，不断提高市场监管的质量、效率和水平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④促进社会信用体系建设，发挥道德的教化作用以营造守信互信的社会氛围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A．①② </w:t>
      </w:r>
      <w:r>
        <w:rPr>
          <w:rFonts w:ascii="宋体" w:hAnsi="宋体" w:eastAsia="宋体"/>
          <w:color w:val="000000" w:themeColor="text1"/>
          <w14:textFill>
            <w14:solidFill>
              <w14:schemeClr w14:val="tx1"/>
            </w14:solidFill>
          </w14:textFill>
        </w:rPr>
        <w:t>B．①③</w:t>
      </w:r>
      <w:r>
        <w:rPr>
          <w:rFonts w:ascii="宋体" w:hAnsi="宋体" w:eastAsia="宋体"/>
          <w:color w:val="000000" w:themeColor="text1"/>
          <w14:textFill>
            <w14:solidFill>
              <w14:schemeClr w14:val="tx1"/>
            </w14:solidFill>
          </w14:textFill>
        </w:rPr>
        <w:t xml:space="preserve"> C．②④ 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7.（2024房山一模</w:t>
      </w:r>
      <w:r>
        <w:rPr>
          <w:rFonts w:ascii="宋体" w:hAnsi="宋体" w:eastAsia="宋体"/>
          <w:color w:val="000000" w:themeColor="text1"/>
          <w14:textFill>
            <w14:solidFill>
              <w14:schemeClr w14:val="tx1"/>
            </w14:solidFill>
          </w14:textFill>
        </w:rPr>
        <w:t>2</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当前，我国正加快构建内外联通、高效便捷的物流网络，从构建国内国际物流大通道</w:t>
      </w:r>
      <w:r>
        <w:rPr>
          <w:rFonts w:hint="eastAsia" w:ascii="宋体" w:hAnsi="宋体" w:eastAsia="宋体"/>
          <w:color w:val="000000" w:themeColor="text1"/>
          <w14:textFill>
            <w14:solidFill>
              <w14:schemeClr w14:val="tx1"/>
            </w14:solidFill>
          </w14:textFill>
        </w:rPr>
        <w:t>到补齐农村物流、冷链物流的短板，再到科技数字化赋能、培育枢纽经济等新形态，一系列事关长远的顶层设计为高水平建设现代物流体系、推动高质量发展锚定方向。构建现代化物流体系能够</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①推进构建全国统一大市场，推动供应链稳定发展</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②提高商品的劳动生产率，畅通生产与消费微循环</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③降低社会物流成本，促进企业经济效益的提升</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④激发市场主体活力，提升经济总体运行的效率</w:t>
      </w:r>
    </w:p>
    <w:p>
      <w:pPr>
        <w:rPr>
          <w:rFonts w:ascii="宋体" w:hAnsi="宋体" w:eastAsia="宋体"/>
          <w:color w:val="000000" w:themeColor="text1"/>
          <w14:textFill>
            <w14:solidFill>
              <w14:schemeClr w14:val="tx1"/>
            </w14:solidFill>
          </w14:textFill>
        </w:rPr>
      </w:pPr>
      <w:r>
        <w:rPr>
          <w:color w:val="000000" w:themeColor="text1"/>
          <w14:textFill>
            <w14:solidFill>
              <w14:schemeClr w14:val="tx1"/>
            </w14:solidFill>
          </w14:textFill>
        </w:rPr>
        <w:pict>
          <v:shape id="_x0000_s2050" o:spid="_x0000_s2050" o:spt="202" type="#_x0000_t202" style="position:absolute;left:0pt;margin-left:257.55pt;margin-top:0.6pt;height:100.35pt;width:164.85pt;mso-wrap-distance-bottom:3.6pt;mso-wrap-distance-left:9pt;mso-wrap-distance-right:9pt;mso-wrap-distance-top:3.6pt;z-index:251661312;mso-width-relative:margin;mso-height-relative:margin;mso-width-percent:400;"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AA&#10;">
            <v:path/>
            <v:fill focussize="0,0"/>
            <v:stroke joinstyle="miter"/>
            <v:imagedata o:title=""/>
            <o:lock v:ext="edit"/>
            <v:textbox>
              <w:txbxContent>
                <w:p>
                  <w:pPr>
                    <w:ind w:firstLine="210" w:firstLineChars="100"/>
                    <w:rPr>
                      <w:rFonts w:ascii="宋体" w:hAnsi="宋体" w:eastAsia="宋体"/>
                    </w:rPr>
                  </w:pPr>
                  <w:r>
                    <w:rPr>
                      <w:rFonts w:ascii="宋体" w:hAnsi="宋体" w:eastAsia="宋体"/>
                    </w:rPr>
                    <w:t>国债是国家为了筹集财政资金</w:t>
                  </w:r>
                  <w:r>
                    <w:rPr>
                      <w:rFonts w:hint="eastAsia" w:ascii="宋体" w:hAnsi="宋体" w:eastAsia="宋体"/>
                    </w:rPr>
                    <w:t>而发行的一种政府债券。</w:t>
                  </w:r>
                </w:p>
                <w:p>
                  <w:pPr>
                    <w:ind w:firstLine="210" w:firstLineChars="100"/>
                    <w:rPr>
                      <w:rFonts w:ascii="宋体" w:hAnsi="宋体" w:eastAsia="宋体"/>
                    </w:rPr>
                  </w:pPr>
                  <w:r>
                    <w:rPr>
                      <w:rFonts w:ascii="宋体" w:hAnsi="宋体" w:eastAsia="宋体"/>
                    </w:rPr>
                    <w:t>“超长期”指的是债券的发行期限在10年以上。</w:t>
                  </w:r>
                </w:p>
                <w:p>
                  <w:pPr>
                    <w:ind w:firstLine="210" w:firstLineChars="100"/>
                    <w:rPr>
                      <w:rFonts w:ascii="宋体" w:hAnsi="宋体" w:eastAsia="宋体"/>
                    </w:rPr>
                  </w:pPr>
                  <w:r>
                    <w:rPr>
                      <w:rFonts w:ascii="宋体" w:hAnsi="宋体" w:eastAsia="宋体"/>
                    </w:rPr>
                    <w:t>“特别”指的是为特定目标发</w:t>
                  </w:r>
                  <w:r>
                    <w:rPr>
                      <w:rFonts w:hint="eastAsia" w:ascii="宋体" w:hAnsi="宋体" w:eastAsia="宋体"/>
                    </w:rPr>
                    <w:t>行的、具有明确用途。</w:t>
                  </w:r>
                </w:p>
                <w:p>
                  <w:pPr/>
                  <w:r>
                    <w:rPr>
                      <w:rFonts w:ascii="宋体" w:hAnsi="宋体" w:eastAsia="宋体"/>
                    </w:rPr>
                    <w:tab/>
                  </w:r>
                </w:p>
              </w:txbxContent>
            </v:textbox>
            <w10:wrap type="square"/>
          </v:shape>
        </w:pict>
      </w:r>
      <w:r>
        <w:rPr>
          <w:rFonts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C.②③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8.（2024朝阳一模13）</w:t>
      </w:r>
      <w:r>
        <w:rPr>
          <w:rFonts w:ascii="宋体" w:hAnsi="宋体" w:eastAsia="宋体"/>
          <w:color w:val="000000" w:themeColor="text1"/>
          <w14:textFill>
            <w14:solidFill>
              <w14:schemeClr w14:val="tx1"/>
            </w14:solidFill>
          </w14:textFill>
        </w:rPr>
        <w:t>13.从2024年开始,国家拟连续几年发行超长期特别</w:t>
      </w:r>
      <w:r>
        <w:rPr>
          <w:rFonts w:hint="eastAsia" w:ascii="宋体" w:hAnsi="宋体" w:eastAsia="宋体"/>
          <w:color w:val="000000" w:themeColor="text1"/>
          <w14:textFill>
            <w14:solidFill>
              <w14:schemeClr w14:val="tx1"/>
            </w14:solidFill>
          </w14:textFill>
        </w:rPr>
        <w:t>国债</w:t>
      </w:r>
      <w:r>
        <w:rPr>
          <w:rFonts w:ascii="宋体" w:hAnsi="宋体" w:eastAsia="宋体"/>
          <w:color w:val="000000" w:themeColor="text1"/>
          <w14:textFill>
            <w14:solidFill>
              <w14:schemeClr w14:val="tx1"/>
            </w14:solidFill>
          </w14:textFill>
        </w:rPr>
        <w:t>,专项用于国家重大战略实施和重点领域安</w:t>
      </w:r>
      <w:r>
        <w:rPr>
          <w:rFonts w:hint="eastAsia" w:ascii="宋体" w:hAnsi="宋体" w:eastAsia="宋体"/>
          <w:color w:val="000000" w:themeColor="text1"/>
          <w14:textFill>
            <w14:solidFill>
              <w14:schemeClr w14:val="tx1"/>
            </w14:solidFill>
          </w14:textFill>
        </w:rPr>
        <w:t>全能力建设</w:t>
      </w:r>
      <w:r>
        <w:rPr>
          <w:rFonts w:ascii="宋体" w:hAnsi="宋体" w:eastAsia="宋体"/>
          <w:color w:val="000000" w:themeColor="text1"/>
          <w14:textFill>
            <w14:solidFill>
              <w14:schemeClr w14:val="tx1"/>
            </w14:solidFill>
          </w14:textFill>
        </w:rPr>
        <w:t>,重点支持科技创新、城乡融合发展、</w:t>
      </w:r>
      <w:r>
        <w:rPr>
          <w:rFonts w:hint="eastAsia" w:ascii="宋体" w:hAnsi="宋体" w:eastAsia="宋体"/>
          <w:color w:val="000000" w:themeColor="text1"/>
          <w14:textFill>
            <w14:solidFill>
              <w14:schemeClr w14:val="tx1"/>
            </w14:solidFill>
          </w14:textFill>
        </w:rPr>
        <w:t>区域协调发展、粮食能源安全、人口高质量发展等领域建设。超长期特别国债既利当前</w:t>
      </w:r>
      <w:r>
        <w:rPr>
          <w:rFonts w:ascii="宋体" w:hAnsi="宋体" w:eastAsia="宋体"/>
          <w:color w:val="000000" w:themeColor="text1"/>
          <w14:textFill>
            <w14:solidFill>
              <w14:schemeClr w14:val="tx1"/>
            </w14:solidFill>
          </w14:textFill>
        </w:rPr>
        <w:t>,又惠长远</w:t>
      </w:r>
      <w:r>
        <w:rPr>
          <w:rFonts w:hint="eastAsia" w:ascii="宋体" w:hAnsi="宋体" w:eastAsia="宋体"/>
          <w:color w:val="000000" w:themeColor="text1"/>
          <w14:textFill>
            <w14:solidFill>
              <w14:schemeClr w14:val="tx1"/>
            </w14:solidFill>
          </w14:textFill>
        </w:rPr>
        <w:t>，其对国民经济影响的路径正确的是</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A.政府投资规模扩大→重大战略投入增长→夯实能源安全基石→提高经济增长速度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B.政府财政支出增加→城乡融合进程加快→实现公共服务均等→推动经济回升向好</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C.政府扩大债券规模→居民投资渠道扩大→居民劳动收入增长→促进投资消费增长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D.政府财政资金增加→科研经费支出增长→提升科技创新能力→增强经济运行效能</w:t>
      </w: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9.（2024朝阳一模17）</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人口老龄化是我国今后较长一个时期的基本国情。我们应坚持应对人口老龄化和促进经济社会发展相结合，坚持满足老年人需求和解决人口老龄化问题相结合，努力挖掘人口老龄化给国家发展带来的活力和机遇。</w:t>
      </w:r>
    </w:p>
    <w:p>
      <w:pPr>
        <w:ind w:firstLine="420" w:firstLineChars="200"/>
        <w:rPr>
          <w:rFonts w:ascii="宋体" w:hAnsi="宋体" w:eastAsia="宋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银发经济是向老年人提供产品或服务，以及为老龄阶段作准备等一系列经济活动的总和，既包括老年阶段的“老龄经济”，也包括未老阶段的“备老经济”。专家预计，到</w:t>
      </w:r>
      <w:r>
        <w:rPr>
          <w:rFonts w:ascii="楷体" w:hAnsi="楷体" w:eastAsia="楷体"/>
          <w:color w:val="000000" w:themeColor="text1"/>
          <w14:textFill>
            <w14:solidFill>
              <w14:schemeClr w14:val="tx1"/>
            </w14:solidFill>
          </w14:textFill>
        </w:rPr>
        <w:t>2035年我国银发经济规模将达到19万亿元，</w:t>
      </w:r>
      <w:r>
        <w:rPr>
          <w:rFonts w:hint="eastAsia" w:ascii="楷体" w:hAnsi="楷体" w:eastAsia="楷体"/>
          <w:color w:val="000000" w:themeColor="text1"/>
          <w14:textFill>
            <w14:solidFill>
              <w14:schemeClr w14:val="tx1"/>
            </w14:solidFill>
          </w14:textFill>
        </w:rPr>
        <w:t>将</w:t>
      </w:r>
      <w:r>
        <w:rPr>
          <w:rFonts w:ascii="楷体" w:hAnsi="楷体" w:eastAsia="楷体"/>
          <w:color w:val="000000" w:themeColor="text1"/>
          <w14:textFill>
            <w14:solidFill>
              <w14:schemeClr w14:val="tx1"/>
            </w14:solidFill>
          </w14:textFill>
        </w:rPr>
        <w:t>占我国GDP总量的9.6%。</w:t>
      </w:r>
    </w:p>
    <w:p>
      <w:pPr>
        <w:ind w:firstLine="420" w:firstLineChars="200"/>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2024</w:t>
      </w:r>
      <w:r>
        <w:rPr>
          <w:rFonts w:hint="eastAsia" w:ascii="楷体" w:hAnsi="楷体" w:eastAsia="楷体"/>
          <w:color w:val="000000" w:themeColor="text1"/>
          <w14:textFill>
            <w14:solidFill>
              <w14:schemeClr w14:val="tx1"/>
            </w14:solidFill>
          </w14:textFill>
        </w:rPr>
        <w:t>年1月，国务院办公厅印发《关于发展银发经济增进老年人福祉的意见》，旨在让老年人共享发展成果、安享幸福晚年，不断实现人民对美好生活的向往。</w:t>
      </w:r>
    </w:p>
    <w:p>
      <w:pPr>
        <w:ind w:firstLine="420" w:firstLineChars="200"/>
        <w:jc w:val="center"/>
        <w:rPr>
          <w:rFonts w:ascii="宋体" w:hAnsi="宋体" w:eastAsia="宋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3228340" cy="2131060"/>
            <wp:effectExtent l="0" t="0" r="0" b="2540"/>
            <wp:docPr id="100688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052"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228340" cy="2131060"/>
                    </a:xfrm>
                    <a:prstGeom prst="rect">
                      <a:avLst/>
                    </a:prstGeom>
                    <a:noFill/>
                    <a:ln>
                      <a:noFill/>
                    </a:ln>
                  </pic:spPr>
                </pic:pic>
              </a:graphicData>
            </a:graphic>
          </wp:inline>
        </w:drawing>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结合材料，运用《经济与社会》知识，谈谈如何发展银发经济以增进老年人福祉。（</w:t>
      </w:r>
      <w:r>
        <w:rPr>
          <w:rFonts w:ascii="宋体" w:hAnsi="宋体" w:eastAsia="宋体"/>
          <w:color w:val="000000" w:themeColor="text1"/>
          <w14:textFill>
            <w14:solidFill>
              <w14:schemeClr w14:val="tx1"/>
            </w14:solidFill>
          </w14:textFill>
        </w:rPr>
        <w:t>7</w:t>
      </w:r>
      <w:r>
        <w:rPr>
          <w:rFonts w:hint="eastAsia" w:ascii="宋体" w:hAnsi="宋体" w:eastAsia="宋体"/>
          <w:color w:val="000000" w:themeColor="text1"/>
          <w14:textFill>
            <w14:solidFill>
              <w14:schemeClr w14:val="tx1"/>
            </w14:solidFill>
          </w14:textFill>
        </w:rPr>
        <w:t>分）</w:t>
      </w:r>
    </w:p>
    <w:p>
      <w:pPr>
        <w:snapToGrid w:val="0"/>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可以从市场调节和宏观调控的角度，也可以从国家、企业、社会、个人等不同主体的角度提出建议。</w:t>
      </w:r>
    </w:p>
    <w:tbl>
      <w:tblPr>
        <w:tblStyle w:val="5"/>
        <w:tblpPr w:leftFromText="180" w:rightFromText="180" w:vertAnchor="text" w:horzAnchor="margin" w:tblpXSpec="center" w:tblpY="117"/>
        <w:tblW w:w="75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6379"/>
      </w:tblGrid>
      <w:tr>
        <w:tblPrEx>
          <w:tblLayout w:type="fixed"/>
        </w:tblPrEx>
        <w:trPr>
          <w:trHeight w:val="274" w:hRule="atLeast"/>
        </w:trPr>
        <w:tc>
          <w:tcPr>
            <w:tcW w:w="1134"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等级水平</w:t>
            </w:r>
          </w:p>
        </w:tc>
        <w:tc>
          <w:tcPr>
            <w:tcW w:w="6379"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等 级 描 述</w:t>
            </w:r>
          </w:p>
        </w:tc>
      </w:tr>
      <w:tr>
        <w:tblPrEx>
          <w:tblLayout w:type="fixed"/>
        </w:tblPrEx>
        <w:tc>
          <w:tcPr>
            <w:tcW w:w="1134"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水平4</w:t>
            </w:r>
          </w:p>
        </w:tc>
        <w:tc>
          <w:tcPr>
            <w:tcW w:w="6379" w:type="dxa"/>
            <w:shd w:val="clear" w:color="auto" w:fill="auto"/>
            <w:vAlign w:val="center"/>
          </w:tcPr>
          <w:p>
            <w:pPr>
              <w:snapToGrid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观点鲜明，能明确表达自己的见解；紧扣问题，准确运用相关知识，全面展开分析；逻辑严密，条理清晰</w:t>
            </w:r>
          </w:p>
        </w:tc>
      </w:tr>
      <w:tr>
        <w:tblPrEx>
          <w:tblLayout w:type="fixed"/>
        </w:tblPrEx>
        <w:tc>
          <w:tcPr>
            <w:tcW w:w="1134"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水平</w:t>
            </w:r>
            <w:r>
              <w:rPr>
                <w:rFonts w:ascii="宋体" w:hAnsi="宋体" w:eastAsia="宋体"/>
                <w:color w:val="000000" w:themeColor="text1"/>
                <w:szCs w:val="21"/>
                <w14:textFill>
                  <w14:solidFill>
                    <w14:schemeClr w14:val="tx1"/>
                  </w14:solidFill>
                </w14:textFill>
              </w:rPr>
              <w:t>3</w:t>
            </w:r>
          </w:p>
        </w:tc>
        <w:tc>
          <w:tcPr>
            <w:tcW w:w="6379" w:type="dxa"/>
            <w:shd w:val="clear" w:color="auto" w:fill="auto"/>
            <w:vAlign w:val="center"/>
          </w:tcPr>
          <w:p>
            <w:pPr>
              <w:snapToGrid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观点比较明确，能表达自己的见解；能扣住问题展开分析，知识运用比较准确；逻辑性较强，有条理</w:t>
            </w:r>
          </w:p>
        </w:tc>
      </w:tr>
      <w:tr>
        <w:tblPrEx>
          <w:tblLayout w:type="fixed"/>
        </w:tblPrEx>
        <w:tc>
          <w:tcPr>
            <w:tcW w:w="1134"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水平</w:t>
            </w:r>
            <w:r>
              <w:rPr>
                <w:rFonts w:ascii="宋体" w:hAnsi="宋体" w:eastAsia="宋体"/>
                <w:color w:val="000000" w:themeColor="text1"/>
                <w:szCs w:val="21"/>
                <w14:textFill>
                  <w14:solidFill>
                    <w14:schemeClr w14:val="tx1"/>
                  </w14:solidFill>
                </w14:textFill>
              </w:rPr>
              <w:t>2</w:t>
            </w:r>
          </w:p>
        </w:tc>
        <w:tc>
          <w:tcPr>
            <w:tcW w:w="6379" w:type="dxa"/>
            <w:shd w:val="clear" w:color="auto" w:fill="auto"/>
            <w:vAlign w:val="center"/>
          </w:tcPr>
          <w:p>
            <w:pPr>
              <w:snapToGrid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观点不明确；分析不能集中指向问题，罗列知识；知识运用不正确；</w:t>
            </w:r>
          </w:p>
          <w:p>
            <w:pPr>
              <w:snapToGrid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论述缺乏逻辑，条理性差</w:t>
            </w:r>
          </w:p>
        </w:tc>
      </w:tr>
      <w:tr>
        <w:tblPrEx>
          <w:tblLayout w:type="fixed"/>
        </w:tblPrEx>
        <w:tc>
          <w:tcPr>
            <w:tcW w:w="1134" w:type="dxa"/>
            <w:shd w:val="clear" w:color="auto" w:fill="auto"/>
            <w:vAlign w:val="center"/>
          </w:tcPr>
          <w:p>
            <w:pPr>
              <w:snapToGrid w:val="0"/>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水平</w:t>
            </w:r>
            <w:r>
              <w:rPr>
                <w:rFonts w:ascii="宋体" w:hAnsi="宋体" w:eastAsia="宋体"/>
                <w:color w:val="000000" w:themeColor="text1"/>
                <w:szCs w:val="21"/>
                <w14:textFill>
                  <w14:solidFill>
                    <w14:schemeClr w14:val="tx1"/>
                  </w14:solidFill>
                </w14:textFill>
              </w:rPr>
              <w:t>1</w:t>
            </w:r>
          </w:p>
        </w:tc>
        <w:tc>
          <w:tcPr>
            <w:tcW w:w="6379" w:type="dxa"/>
            <w:shd w:val="clear" w:color="auto" w:fill="auto"/>
            <w:vAlign w:val="center"/>
          </w:tcPr>
          <w:p>
            <w:pPr>
              <w:snapToGrid w:val="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应答与试题无关；或重复试题内容；或没有应答</w:t>
            </w:r>
          </w:p>
        </w:tc>
      </w:tr>
    </w:tbl>
    <w:p>
      <w:pPr>
        <w:ind w:firstLine="420" w:firstLineChars="200"/>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p>
    <w:p>
      <w:pPr>
        <w:rPr>
          <w:rFonts w:hint="eastAsia" w:ascii="宋体" w:hAnsi="宋体" w:eastAsia="宋体"/>
          <w:color w:val="000000" w:themeColor="text1"/>
          <w14:textFill>
            <w14:solidFill>
              <w14:schemeClr w14:val="tx1"/>
            </w14:solidFill>
          </w14:textFill>
        </w:rPr>
      </w:pPr>
    </w:p>
    <w:p>
      <w:pPr>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10.（2024丰台一模18）材料二 多措并举赋能新质生产力发展</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drawing>
          <wp:inline distT="0" distB="0" distL="0" distR="0">
            <wp:extent cx="4610100" cy="1546860"/>
            <wp:effectExtent l="0" t="0" r="0" b="0"/>
            <wp:docPr id="186235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5557" name="图片 1"/>
                    <pic:cNvPicPr>
                      <a:picLocks noChangeAspect="1"/>
                    </pic:cNvPicPr>
                  </pic:nvPicPr>
                  <pic:blipFill>
                    <a:blip r:embed="rId6"/>
                    <a:stretch>
                      <a:fillRect/>
                    </a:stretch>
                  </pic:blipFill>
                  <pic:spPr>
                    <a:xfrm>
                      <a:off x="0" y="0"/>
                      <a:ext cx="4610500" cy="1546994"/>
                    </a:xfrm>
                    <a:prstGeom prst="rect">
                      <a:avLst/>
                    </a:prstGeom>
                  </pic:spPr>
                </pic:pic>
              </a:graphicData>
            </a:graphic>
          </wp:inline>
        </w:drawing>
      </w:r>
    </w:p>
    <w:p>
      <w:pPr>
        <w:pStyle w:val="9"/>
        <w:numPr>
          <w:ilvl w:val="0"/>
          <w:numId w:val="1"/>
        </w:numPr>
        <w:ind w:firstLineChars="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运用《经济与社会》知识,说明上述举措为发展新质生产力赋能的经济逻辑。(9分)</w:t>
      </w:r>
    </w:p>
    <w:p>
      <w:pPr>
        <w:ind w:firstLine="210" w:firstLineChars="1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畅通教育、科技、人才的良性循环，有利于营造创新环境，释放人才创新活力；加强 科技创新，有利于形成新业态、新产业，推动产业链条的升级发展，为发展新质生产力提供要素支 撑。 </w:t>
      </w:r>
    </w:p>
    <w:p>
      <w:pPr>
        <w:ind w:firstLine="210" w:firstLineChars="1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加快建设全国统一大市场，处理好市场和政府的关系，既能发挥市场优势，释放市场潜力，又 能破除壁垒，促进生产要素公平参与竞争，推动各产业有序链接、高效畅通，促进创新要素有序流 动和合理配置，为推动新质生产力发展营造良好市场环境。 </w:t>
      </w:r>
    </w:p>
    <w:p>
      <w:pPr>
        <w:ind w:firstLine="210" w:firstLineChars="100"/>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发展新质生产力，在遵循改革发展规律的基础上全面深化改革，形成与之相适应的新型生产关 系，充分激发各类经营主体的内生动力和创新活力；深化经济体制、科技体制改革，加快全国统一 大市场建设，建立高标准市场体系，为新质生产力发展提供体制机制保障；进一步扩大高水平对外 开放，为发展新质生产力营造良好国际环境。</w:t>
      </w:r>
    </w:p>
    <w:p>
      <w:pPr>
        <w:rPr>
          <w:rFonts w:ascii="宋体" w:hAnsi="宋体" w:eastAsia="宋体"/>
          <w:color w:val="000000" w:themeColor="text1"/>
          <w14:textFill>
            <w14:solidFill>
              <w14:schemeClr w14:val="tx1"/>
            </w14:solidFill>
          </w14:textFill>
        </w:rPr>
      </w:pPr>
    </w:p>
    <w:p>
      <w:pPr>
        <w:rPr>
          <w:rFonts w:ascii="楷体" w:hAnsi="楷体" w:eastAsia="楷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11.</w:t>
      </w:r>
      <w:r>
        <w:rPr>
          <w:rFonts w:hint="eastAsia" w:ascii="宋体" w:hAnsi="宋体" w:eastAsia="宋体"/>
          <w:color w:val="000000" w:themeColor="text1"/>
          <w14:textFill>
            <w14:solidFill>
              <w14:schemeClr w14:val="tx1"/>
            </w14:solidFill>
          </w14:textFill>
        </w:rPr>
        <w:t>（2024房山</w:t>
      </w:r>
      <w:r>
        <w:rPr>
          <w:rFonts w:hint="eastAsia" w:ascii="宋体" w:hAnsi="宋体" w:eastAsia="宋体"/>
          <w:color w:val="000000" w:themeColor="text1"/>
          <w14:textFill>
            <w14:solidFill>
              <w14:schemeClr w14:val="tx1"/>
            </w14:solidFill>
          </w14:textFill>
        </w:rPr>
        <w:t>一</w:t>
      </w:r>
      <w:r>
        <w:rPr>
          <w:rFonts w:hint="eastAsia" w:ascii="宋体" w:hAnsi="宋体" w:eastAsia="宋体"/>
          <w:color w:val="000000" w:themeColor="text1"/>
          <w14:textFill>
            <w14:solidFill>
              <w14:schemeClr w14:val="tx1"/>
            </w14:solidFill>
          </w14:textFill>
        </w:rPr>
        <w:t>模）</w:t>
      </w:r>
      <w:r>
        <w:rPr>
          <w:rFonts w:ascii="宋体" w:hAnsi="宋体" w:eastAsia="宋体"/>
          <w:color w:val="000000" w:themeColor="text1"/>
          <w14:textFill>
            <w14:solidFill>
              <w14:schemeClr w14:val="tx1"/>
            </w14:solidFill>
          </w14:textFill>
        </w:rPr>
        <w:t>19</w:t>
      </w:r>
      <w:r>
        <w:rPr>
          <w:rFonts w:hint="eastAsia" w:ascii="宋体" w:hAnsi="宋体" w:eastAsia="宋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发展</w:t>
      </w:r>
      <w:r>
        <w:rPr>
          <w:rFonts w:ascii="楷体" w:hAnsi="楷体" w:eastAsia="楷体"/>
          <w:color w:val="000000" w:themeColor="text1"/>
          <w14:textFill>
            <w14:solidFill>
              <w14:schemeClr w14:val="tx1"/>
            </w14:solidFill>
          </w14:textFill>
        </w:rPr>
        <w:t>老年助</w:t>
      </w:r>
      <w:r>
        <w:rPr>
          <w:rFonts w:ascii="楷体" w:hAnsi="楷体" w:eastAsia="楷体"/>
          <w:color w:val="000000" w:themeColor="text1"/>
          <w14:textFill>
            <w14:solidFill>
              <w14:schemeClr w14:val="tx1"/>
            </w14:solidFill>
          </w14:textFill>
        </w:rPr>
        <w:t>餐服务是增进老年人福祉的重要举措。为更好地推动</w:t>
      </w:r>
      <w:r>
        <w:rPr>
          <w:rFonts w:ascii="楷体" w:hAnsi="楷体" w:eastAsia="楷体"/>
          <w:color w:val="000000" w:themeColor="text1"/>
          <w14:textFill>
            <w14:solidFill>
              <w14:schemeClr w14:val="tx1"/>
            </w14:solidFill>
          </w14:textFill>
        </w:rPr>
        <w:t>老年助</w:t>
      </w:r>
      <w:r>
        <w:rPr>
          <w:rFonts w:ascii="楷体" w:hAnsi="楷体" w:eastAsia="楷体"/>
          <w:color w:val="000000" w:themeColor="text1"/>
          <w14:textFill>
            <w14:solidFill>
              <w14:schemeClr w14:val="tx1"/>
            </w14:solidFill>
          </w14:textFill>
        </w:rPr>
        <w:t>餐服务</w:t>
      </w:r>
      <w:r>
        <w:rPr>
          <w:rFonts w:hint="eastAsia" w:ascii="楷体" w:hAnsi="楷体" w:eastAsia="楷体"/>
          <w:color w:val="000000" w:themeColor="text1"/>
          <w14:textFill>
            <w14:solidFill>
              <w14:schemeClr w14:val="tx1"/>
            </w14:solidFill>
          </w14:textFill>
        </w:rPr>
        <w:t>的可持续发展，</w:t>
      </w:r>
      <w:r>
        <w:rPr>
          <w:rFonts w:hint="eastAsia" w:ascii="楷体" w:hAnsi="楷体" w:eastAsia="楷体"/>
          <w:color w:val="000000" w:themeColor="text1"/>
          <w14:textFill>
            <w14:solidFill>
              <w14:schemeClr w14:val="tx1"/>
            </w14:solidFill>
          </w14:textFill>
        </w:rPr>
        <w:t>某地出台</w:t>
      </w:r>
      <w:r>
        <w:rPr>
          <w:rFonts w:hint="eastAsia" w:ascii="楷体" w:hAnsi="楷体" w:eastAsia="楷体"/>
          <w:color w:val="000000" w:themeColor="text1"/>
          <w14:textFill>
            <w14:solidFill>
              <w14:schemeClr w14:val="tx1"/>
            </w14:solidFill>
          </w14:textFill>
        </w:rPr>
        <w:t>了《加快发展老年助餐服务实施方案》</w:t>
      </w:r>
      <w:r>
        <w:rPr>
          <w:rFonts w:ascii="楷体" w:hAnsi="楷体" w:eastAsia="楷体"/>
          <w:color w:val="000000" w:themeColor="text1"/>
          <w14:textFill>
            <w14:solidFill>
              <w14:schemeClr w14:val="tx1"/>
            </w14:solidFill>
          </w14:textFill>
        </w:rPr>
        <w:t>(下表)，效果良好。</w:t>
      </w:r>
    </w:p>
    <w:p>
      <w:pPr>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drawing>
          <wp:inline distT="0" distB="0" distL="0" distR="0">
            <wp:extent cx="5274310" cy="2209800"/>
            <wp:effectExtent l="0" t="0" r="0" b="0"/>
            <wp:docPr id="17246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364" name="图片 1"/>
                    <pic:cNvPicPr>
                      <a:picLocks noChangeAspect="1"/>
                    </pic:cNvPicPr>
                  </pic:nvPicPr>
                  <pic:blipFill>
                    <a:blip r:embed="rId7"/>
                    <a:stretch>
                      <a:fillRect/>
                    </a:stretch>
                  </pic:blipFill>
                  <pic:spPr>
                    <a:xfrm>
                      <a:off x="0" y="0"/>
                      <a:ext cx="5274310" cy="2209800"/>
                    </a:xfrm>
                    <a:prstGeom prst="rect">
                      <a:avLst/>
                    </a:prstGeom>
                  </pic:spPr>
                </pic:pic>
              </a:graphicData>
            </a:graphic>
          </wp:inline>
        </w:drawing>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结合材料</w:t>
      </w:r>
      <w:r>
        <w:rPr>
          <w:rFonts w:ascii="宋体" w:hAnsi="宋体" w:eastAsia="宋体"/>
          <w:color w:val="000000" w:themeColor="text1"/>
          <w14:textFill>
            <w14:solidFill>
              <w14:schemeClr w14:val="tx1"/>
            </w14:solidFill>
          </w14:textFill>
        </w:rPr>
        <w:t>,运用《经济与社会》知识,分析该地区老年食堂是如何实现可持续发展的。</w:t>
      </w:r>
      <w:r>
        <w:rPr>
          <w:rFonts w:hint="eastAsia" w:ascii="宋体" w:hAnsi="宋体" w:eastAsia="宋体"/>
          <w:color w:val="000000" w:themeColor="text1"/>
          <w14:textFill>
            <w14:solidFill>
              <w14:schemeClr w14:val="tx1"/>
            </w14:solidFill>
          </w14:textFill>
        </w:rPr>
        <w:t>（8分）</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(1)该地政府履行经济职能，(替代科学的宏观调控、有效的政府治理是社会主义市场经济体制优势的内在要求)对老年食堂的建设和运营上进行积极扶持并给予财政补贴，不断提升公共服务水平，</w:t>
      </w:r>
      <w:r>
        <w:rPr>
          <w:rFonts w:ascii="宋体" w:hAnsi="宋体" w:eastAsia="宋体"/>
          <w:color w:val="000000" w:themeColor="text1"/>
          <w14:textFill>
            <w14:solidFill>
              <w14:schemeClr w14:val="tx1"/>
            </w14:solidFill>
          </w14:textFill>
        </w:rPr>
        <w:t>践行</w:t>
      </w:r>
      <w:r>
        <w:rPr>
          <w:rFonts w:ascii="宋体" w:hAnsi="宋体" w:eastAsia="宋体"/>
          <w:color w:val="000000" w:themeColor="text1"/>
          <w14:textFill>
            <w14:solidFill>
              <w14:schemeClr w14:val="tx1"/>
            </w14:solidFill>
          </w14:textFill>
        </w:rPr>
        <w:t>以人民为中心的发展思想。(2分)</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(2)该地</w:t>
      </w:r>
      <w:r>
        <w:rPr>
          <w:rFonts w:ascii="宋体" w:hAnsi="宋体" w:eastAsia="宋体"/>
          <w:color w:val="000000" w:themeColor="text1"/>
          <w14:textFill>
            <w14:solidFill>
              <w14:schemeClr w14:val="tx1"/>
            </w14:solidFill>
          </w14:textFill>
        </w:rPr>
        <w:t>政府市监</w:t>
      </w:r>
      <w:r>
        <w:rPr>
          <w:rFonts w:ascii="宋体" w:hAnsi="宋体" w:eastAsia="宋体"/>
          <w:color w:val="000000" w:themeColor="text1"/>
          <w14:textFill>
            <w14:solidFill>
              <w14:schemeClr w14:val="tx1"/>
            </w14:solidFill>
          </w14:textFill>
        </w:rPr>
        <w:t>部门加强对老年食堂的市场监管，定期开展食品安全检查活动，督促老年食堂严格落实食品安全制度，保障老年食堂的食品安全和老人的饮食安全。(2分)</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(3)充分发挥市场在资源配置中的决定作用，把有效市场与有为政府相结合。(替代市场是资源配置的有效手段，市场决定资源配置是市场经济的一般规律。)市场化运作的老年食堂</w:t>
      </w:r>
      <w:r>
        <w:rPr>
          <w:rFonts w:ascii="宋体" w:hAnsi="宋体" w:eastAsia="宋体"/>
          <w:color w:val="000000" w:themeColor="text1"/>
          <w14:textFill>
            <w14:solidFill>
              <w14:schemeClr w14:val="tx1"/>
            </w14:solidFill>
          </w14:textFill>
        </w:rPr>
        <w:t>的聘用合适的经营公司和专业的烹饪团队，提高老年食堂的管理水平和安全高质的餐食，满足居民日益增长的、多元用餐需求。拓展服务场景，提供多元化用餐服务，扩大市场需求。(2分)</w:t>
      </w:r>
    </w:p>
    <w:p>
      <w:pPr>
        <w:rPr>
          <w:rFonts w:hint="eastAsia"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(4)老年食堂通过供给侧结构性改革，充分注重发挥科技的支撑作用，用数字化手段赋能老年食堂高质量建设，精准科学满足老年人的个性需求。(2分)</w:t>
      </w:r>
    </w:p>
    <w:p>
      <w:pPr>
        <w:rPr>
          <w:rFonts w:hint="eastAsia" w:ascii="宋体" w:hAnsi="宋体" w:eastAsia="宋体"/>
          <w:color w:val="000000" w:themeColor="text1"/>
          <w14:textFill>
            <w14:solidFill>
              <w14:schemeClr w14:val="tx1"/>
            </w14:solidFill>
          </w14:textFill>
        </w:rPr>
      </w:pPr>
    </w:p>
    <w:p>
      <w:pPr>
        <w:ind w:firstLine="2741" w:firstLineChars="1300"/>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 xml:space="preserve">第三课  </w:t>
      </w:r>
      <w:r>
        <w:rPr>
          <w:rFonts w:ascii="宋体" w:hAnsi="宋体" w:eastAsia="宋体"/>
          <w:b/>
          <w:bCs/>
          <w:color w:val="000000" w:themeColor="text1"/>
          <w14:textFill>
            <w14:solidFill>
              <w14:schemeClr w14:val="tx1"/>
            </w14:solidFill>
          </w14:textFill>
        </w:rPr>
        <w:t xml:space="preserve"> 我国的经济发展</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1.（2024东城一模2）</w:t>
      </w:r>
      <w:r>
        <w:rPr>
          <w:rFonts w:ascii="宋体" w:hAnsi="宋体" w:eastAsia="宋体"/>
          <w:color w:val="000000" w:themeColor="text1"/>
          <w14:textFill>
            <w14:solidFill>
              <w14:schemeClr w14:val="tx1"/>
            </w14:solidFill>
          </w14:textFill>
        </w:rPr>
        <w:t>文旅产业发展呈现人间烟火气。烟火气连着地气,各地不同的土风,符合中国审美创造和审美接受的传统心理;烟火气连着人气,游客与居民共创共享、线上与线下共情共鸣;烟火气连着心气,城市的好口碑得到传播,当地居民的精神面貌受到洗礼，</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民心凝聚力得到提升。这说明</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①</w:t>
      </w:r>
      <w:r>
        <w:rPr>
          <w:rFonts w:hint="eastAsia" w:ascii="宋体" w:hAnsi="宋体" w:eastAsia="宋体"/>
          <w:color w:val="000000" w:themeColor="text1"/>
          <w14:textFill>
            <w14:solidFill>
              <w14:schemeClr w14:val="tx1"/>
            </w14:solidFill>
          </w14:textFill>
        </w:rPr>
        <w:t>促进文旅产业创新发展</w:t>
      </w:r>
      <w:r>
        <w:rPr>
          <w:rFonts w:ascii="宋体" w:hAnsi="宋体" w:eastAsia="宋体"/>
          <w:color w:val="000000" w:themeColor="text1"/>
          <w14:textFill>
            <w14:solidFill>
              <w14:schemeClr w14:val="tx1"/>
            </w14:solidFill>
          </w14:textFill>
        </w:rPr>
        <w:t>,要抓住不同地区风土特征</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②促进城市文旅融合</w:t>
      </w:r>
      <w:r>
        <w:rPr>
          <w:rFonts w:ascii="宋体" w:hAnsi="宋体" w:eastAsia="宋体"/>
          <w:color w:val="000000" w:themeColor="text1"/>
          <w14:textFill>
            <w14:solidFill>
              <w14:schemeClr w14:val="tx1"/>
            </w14:solidFill>
          </w14:textFill>
        </w:rPr>
        <w:t>,要把完善公共文化服务体系作为首要任务</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③文旅城市火爆出圈,要主客共享,线上线下暖心互动</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④发展文旅要注重口碑传播，因为“流量”是“留量”的基础</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w:t>
      </w:r>
      <w:bookmarkStart w:id="1" w:name="_Hlk163920394"/>
      <w:r>
        <w:rPr>
          <w:rFonts w:ascii="宋体" w:hAnsi="宋体" w:eastAsia="宋体"/>
          <w:color w:val="000000" w:themeColor="text1"/>
          <w14:textFill>
            <w14:solidFill>
              <w14:schemeClr w14:val="tx1"/>
            </w14:solidFill>
          </w14:textFill>
        </w:rPr>
        <w:t>①</w:t>
      </w:r>
      <w:bookmarkEnd w:id="1"/>
      <w:r>
        <w:rPr>
          <w:rFonts w:ascii="宋体" w:hAnsi="宋体" w:eastAsia="宋体"/>
          <w:color w:val="000000" w:themeColor="text1"/>
          <w14:textFill>
            <w14:solidFill>
              <w14:schemeClr w14:val="tx1"/>
            </w14:solidFill>
          </w14:textFill>
        </w:rPr>
        <w:t>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B.①③</w:t>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C.②④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2.</w:t>
      </w:r>
      <w:r>
        <w:rPr>
          <w:rFonts w:hint="eastAsia" w:ascii="Times New Roman" w:hAnsi="Times New Roman" w:eastAsia="宋体" w:cs="Times New Roman"/>
          <w:color w:val="000000" w:themeColor="text1"/>
          <w:szCs w:val="21"/>
          <w14:textFill>
            <w14:solidFill>
              <w14:schemeClr w14:val="tx1"/>
            </w14:solidFill>
          </w14:textFill>
          <w14:ligatures w14:val="none"/>
        </w:rPr>
        <w:t>（2024</w:t>
      </w:r>
      <w:r>
        <w:rPr>
          <w:rFonts w:ascii="Times New Roman" w:hAnsi="Times New Roman" w:eastAsia="宋体" w:cs="Times New Roman"/>
          <w:color w:val="000000" w:themeColor="text1"/>
          <w:szCs w:val="21"/>
          <w14:textFill>
            <w14:solidFill>
              <w14:schemeClr w14:val="tx1"/>
            </w14:solidFill>
          </w14:textFill>
          <w14:ligatures w14:val="none"/>
        </w:rPr>
        <w:t>西城一模</w:t>
      </w:r>
      <w:r>
        <w:rPr>
          <w:rFonts w:hint="eastAsia" w:ascii="Times New Roman" w:hAnsi="Times New Roman" w:eastAsia="宋体" w:cs="Times New Roman"/>
          <w:color w:val="000000" w:themeColor="text1"/>
          <w:szCs w:val="21"/>
          <w14:textFill>
            <w14:solidFill>
              <w14:schemeClr w14:val="tx1"/>
            </w14:solidFill>
          </w14:textFill>
          <w14:ligatures w14:val="none"/>
        </w:rPr>
        <w:t>4</w:t>
      </w:r>
      <w:r>
        <w:rPr>
          <w:rFonts w:ascii="Times New Roman" w:hAnsi="Times New Roman" w:eastAsia="宋体" w:cs="Times New Roman"/>
          <w:color w:val="000000" w:themeColor="text1"/>
          <w:szCs w:val="21"/>
          <w14:textFill>
            <w14:solidFill>
              <w14:schemeClr w14:val="tx1"/>
            </w14:solidFill>
          </w14:textFill>
          <w14:ligatures w14:val="none"/>
        </w:rPr>
        <w:t>）</w:t>
      </w:r>
      <w:r>
        <w:rPr>
          <w:rFonts w:hint="eastAsia" w:ascii="宋体" w:hAnsi="宋体" w:eastAsia="宋体"/>
          <w:color w:val="000000" w:themeColor="text1"/>
          <w14:textFill>
            <w14:solidFill>
              <w14:schemeClr w14:val="tx1"/>
            </w14:solidFill>
          </w14:textFill>
        </w:rPr>
        <w:t>早在1981年，浙江省月山村的村民便用一副锣鼓、两把二胡、三支笛子，奏响了全国第一台“乡村春节联欢晚会”……2023年，文化和旅游部发文鼓励全国开展“四季村晚”活动，引导各地“村晚”常态化开展。山村“小欢喜”发展成全国“大联欢”能够</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擦亮群众文化品牌，把</w:t>
      </w:r>
      <w:r>
        <w:rPr>
          <w:rFonts w:ascii="宋体" w:hAnsi="宋体" w:eastAsia="宋体"/>
          <w:color w:val="000000" w:themeColor="text1"/>
          <w14:textFill>
            <w14:solidFill>
              <w14:schemeClr w14:val="tx1"/>
            </w14:solidFill>
          </w14:textFill>
        </w:rPr>
        <w:t>乡</w:t>
      </w:r>
      <w:r>
        <w:rPr>
          <w:rFonts w:hint="eastAsia" w:ascii="宋体" w:hAnsi="宋体" w:eastAsia="宋体"/>
          <w:color w:val="000000" w:themeColor="text1"/>
          <w14:textFill>
            <w14:solidFill>
              <w14:schemeClr w14:val="tx1"/>
            </w14:solidFill>
          </w14:textFill>
        </w:rPr>
        <w:t>土</w:t>
      </w:r>
      <w:r>
        <w:rPr>
          <w:rFonts w:ascii="宋体" w:hAnsi="宋体" w:eastAsia="宋体"/>
          <w:color w:val="000000" w:themeColor="text1"/>
          <w14:textFill>
            <w14:solidFill>
              <w14:schemeClr w14:val="tx1"/>
            </w14:solidFill>
          </w14:textFill>
        </w:rPr>
        <w:t>文化</w:t>
      </w:r>
      <w:r>
        <w:rPr>
          <w:rFonts w:hint="eastAsia" w:ascii="宋体" w:hAnsi="宋体" w:eastAsia="宋体"/>
          <w:color w:val="000000" w:themeColor="text1"/>
          <w14:textFill>
            <w14:solidFill>
              <w14:schemeClr w14:val="tx1"/>
            </w14:solidFill>
          </w14:textFill>
        </w:rPr>
        <w:t>打造成“村晚”载体</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B</w:t>
      </w:r>
      <w:r>
        <w:rPr>
          <w:rFonts w:ascii="宋体" w:hAnsi="宋体" w:eastAsia="宋体"/>
          <w:color w:val="000000" w:themeColor="text1"/>
          <w14:textFill>
            <w14:solidFill>
              <w14:schemeClr w14:val="tx1"/>
            </w14:solidFill>
          </w14:textFill>
        </w:rPr>
        <w:t>．融洽邻里关系</w:t>
      </w:r>
      <w:r>
        <w:rPr>
          <w:rFonts w:hint="eastAsia" w:ascii="宋体" w:hAnsi="宋体" w:eastAsia="宋体"/>
          <w:color w:val="000000" w:themeColor="text1"/>
          <w14:textFill>
            <w14:solidFill>
              <w14:schemeClr w14:val="tx1"/>
            </w14:solidFill>
          </w14:textFill>
        </w:rPr>
        <w:t>，弘扬文明风尚，助力农村基层群众自治</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让地方政府调控宏观经济，促进城乡互补、产业联动</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D</w:t>
      </w:r>
      <w:r>
        <w:rPr>
          <w:rFonts w:ascii="宋体" w:hAnsi="宋体" w:eastAsia="宋体"/>
          <w:color w:val="000000" w:themeColor="text1"/>
          <w14:textFill>
            <w14:solidFill>
              <w14:schemeClr w14:val="tx1"/>
            </w14:solidFill>
          </w14:textFill>
        </w:rPr>
        <w:t>．吸引</w:t>
      </w:r>
      <w:r>
        <w:rPr>
          <w:rFonts w:hint="eastAsia" w:ascii="宋体" w:hAnsi="宋体" w:eastAsia="宋体"/>
          <w:color w:val="000000" w:themeColor="text1"/>
          <w14:textFill>
            <w14:solidFill>
              <w14:schemeClr w14:val="tx1"/>
            </w14:solidFill>
          </w14:textFill>
        </w:rPr>
        <w:t>农村外出人口返</w:t>
      </w:r>
      <w:r>
        <w:rPr>
          <w:rFonts w:ascii="宋体" w:hAnsi="宋体" w:eastAsia="宋体"/>
          <w:color w:val="000000" w:themeColor="text1"/>
          <w14:textFill>
            <w14:solidFill>
              <w14:schemeClr w14:val="tx1"/>
            </w14:solidFill>
          </w14:textFill>
        </w:rPr>
        <w:t>乡</w:t>
      </w:r>
      <w:r>
        <w:rPr>
          <w:rFonts w:hint="eastAsia" w:ascii="宋体" w:hAnsi="宋体" w:eastAsia="宋体"/>
          <w:color w:val="000000" w:themeColor="text1"/>
          <w14:textFill>
            <w14:solidFill>
              <w14:schemeClr w14:val="tx1"/>
            </w14:solidFill>
          </w14:textFill>
        </w:rPr>
        <w:t>和城市人口下乡，推动区域协调发展</w:t>
      </w:r>
    </w:p>
    <w:p>
      <w:pPr>
        <w:rPr>
          <w:rFonts w:hint="eastAsia"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3.（2024东城一模</w:t>
      </w:r>
      <w:r>
        <w:rPr>
          <w:rFonts w:ascii="宋体" w:hAnsi="宋体" w:eastAsia="宋体"/>
          <w:color w:val="000000" w:themeColor="text1"/>
          <w14:textFill>
            <w14:solidFill>
              <w14:schemeClr w14:val="tx1"/>
            </w14:solidFill>
          </w14:textFill>
        </w:rPr>
        <w:t>18</w:t>
      </w:r>
      <w:r>
        <w:rPr>
          <w:rFonts w:hint="eastAsia" w:ascii="宋体" w:hAnsi="宋体" w:eastAsia="宋体"/>
          <w:color w:val="000000" w:themeColor="text1"/>
          <w14:textFill>
            <w14:solidFill>
              <w14:schemeClr w14:val="tx1"/>
            </w14:solidFill>
          </w14:textFill>
        </w:rPr>
        <w:t>（1））</w:t>
      </w:r>
      <w:r>
        <w:rPr>
          <w:rFonts w:ascii="宋体" w:hAnsi="宋体" w:eastAsia="宋体"/>
          <w:color w:val="000000" w:themeColor="text1"/>
          <w14:textFill>
            <w14:solidFill>
              <w14:schemeClr w14:val="tx1"/>
            </w14:solidFill>
          </w14:textFill>
        </w:rPr>
        <w:t>新质生产力是创新起主导作用，摆脱传统经济增长方式、生产力发展路径，</w:t>
      </w:r>
      <w:r>
        <w:rPr>
          <w:rFonts w:hint="eastAsia" w:ascii="宋体" w:hAnsi="宋体" w:eastAsia="宋体"/>
          <w:color w:val="000000" w:themeColor="text1"/>
          <w14:textFill>
            <w14:solidFill>
              <w14:schemeClr w14:val="tx1"/>
            </w14:solidFill>
          </w14:textFill>
        </w:rPr>
        <w:t>具有高科技、高效能、高质量特征，符合新发展理念的先进生产力质态。</w:t>
      </w:r>
    </w:p>
    <w:p>
      <w:pPr>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材料</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drawing>
          <wp:inline distT="0" distB="0" distL="0" distR="0">
            <wp:extent cx="5274310" cy="2192020"/>
            <wp:effectExtent l="0" t="0" r="0" b="0"/>
            <wp:docPr id="269884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4512" name="图片 1"/>
                    <pic:cNvPicPr>
                      <a:picLocks noChangeAspect="1"/>
                    </pic:cNvPicPr>
                  </pic:nvPicPr>
                  <pic:blipFill>
                    <a:blip r:embed="rId8"/>
                    <a:stretch>
                      <a:fillRect/>
                    </a:stretch>
                  </pic:blipFill>
                  <pic:spPr>
                    <a:xfrm>
                      <a:off x="0" y="0"/>
                      <a:ext cx="5274310" cy="2192020"/>
                    </a:xfrm>
                    <a:prstGeom prst="rect">
                      <a:avLst/>
                    </a:prstGeom>
                  </pic:spPr>
                </pic:pic>
              </a:graphicData>
            </a:graphic>
          </wp:inline>
        </w:drawing>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北京已建成相对完善的数字基础设施，</w:t>
      </w:r>
      <w:r>
        <w:rPr>
          <w:rFonts w:ascii="楷体" w:hAnsi="楷体" w:eastAsia="楷体"/>
          <w:color w:val="000000" w:themeColor="text1"/>
          <w14:textFill>
            <w14:solidFill>
              <w14:schemeClr w14:val="tx1"/>
            </w14:solidFill>
          </w14:textFill>
        </w:rPr>
        <w:t>2023年，全市实现数字经济增加值18766.7亿元,占地区生产总值的比重为42.9%;依托中关村加快推进高水平科技自立自强先行先试改革，实施24项重大改革措施,出台50多项配套改革措施,出台科研项目经费“包干制”、技术攻关“揭榜挂帅”等政策……北京正充分发挥首都优势,逐“新”而行。</w:t>
      </w:r>
    </w:p>
    <w:p>
      <w:pPr>
        <w:pStyle w:val="9"/>
        <w:numPr>
          <w:ilvl w:val="0"/>
          <w:numId w:val="1"/>
        </w:numPr>
        <w:ind w:firstLineChars="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根据材料,概括北京在发展新质生产力方面的优势，并运用《经济与社会》知识,分析这些优势如何助力新质生产力发展。(8分)</w:t>
      </w:r>
    </w:p>
    <w:p>
      <w:pPr>
        <w:spacing w:line="440" w:lineRule="exact"/>
        <w:ind w:firstLine="420" w:firstLineChars="20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教育、人才优势突出，研发投入持续增长，数字经济成为重要引擎，科技体制改革持续深化。（2分）</w:t>
      </w:r>
    </w:p>
    <w:p>
      <w:pPr>
        <w:spacing w:line="440" w:lineRule="exact"/>
        <w:ind w:firstLine="420" w:firstLineChars="200"/>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教育、人才优势提高劳动者素质，为新质生产力提供创新型人才；研发投入的增长提高原始创新能力，有助于形成颠覆性技术和重大原创成果；</w:t>
      </w:r>
      <w:r>
        <w:rPr>
          <w:rFonts w:ascii="宋体" w:hAnsi="宋体" w:eastAsia="宋体"/>
          <w:color w:val="000000" w:themeColor="text1"/>
          <w:szCs w:val="21"/>
          <w14:textFill>
            <w14:solidFill>
              <w14:schemeClr w14:val="tx1"/>
            </w14:solidFill>
          </w14:textFill>
        </w:rPr>
        <w:t>数字经济</w:t>
      </w:r>
      <w:r>
        <w:rPr>
          <w:rFonts w:hint="eastAsia" w:ascii="宋体" w:hAnsi="宋体" w:eastAsia="宋体"/>
          <w:color w:val="000000" w:themeColor="text1"/>
          <w:szCs w:val="21"/>
          <w14:textFill>
            <w14:solidFill>
              <w14:schemeClr w14:val="tx1"/>
            </w14:solidFill>
          </w14:textFill>
        </w:rPr>
        <w:t>赋能产业发展，</w:t>
      </w:r>
      <w:r>
        <w:rPr>
          <w:rFonts w:ascii="宋体" w:hAnsi="宋体" w:eastAsia="宋体"/>
          <w:color w:val="000000" w:themeColor="text1"/>
          <w:szCs w:val="21"/>
          <w14:textFill>
            <w14:solidFill>
              <w14:schemeClr w14:val="tx1"/>
            </w14:solidFill>
          </w14:textFill>
        </w:rPr>
        <w:t>与实体经济深度融合</w:t>
      </w:r>
      <w:r>
        <w:rPr>
          <w:rFonts w:hint="eastAsia" w:ascii="宋体" w:hAnsi="宋体" w:eastAsia="宋体"/>
          <w:color w:val="000000" w:themeColor="text1"/>
          <w:szCs w:val="21"/>
          <w14:textFill>
            <w14:solidFill>
              <w14:schemeClr w14:val="tx1"/>
            </w14:solidFill>
          </w14:textFill>
        </w:rPr>
        <w:t>，推动</w:t>
      </w:r>
      <w:r>
        <w:rPr>
          <w:rFonts w:ascii="宋体" w:hAnsi="宋体" w:eastAsia="宋体"/>
          <w:color w:val="000000" w:themeColor="text1"/>
          <w:szCs w:val="21"/>
          <w14:textFill>
            <w14:solidFill>
              <w14:schemeClr w14:val="tx1"/>
            </w14:solidFill>
          </w14:textFill>
        </w:rPr>
        <w:t>新型工业化</w:t>
      </w:r>
      <w:r>
        <w:rPr>
          <w:rFonts w:hint="eastAsia" w:ascii="宋体" w:hAnsi="宋体" w:eastAsia="宋体"/>
          <w:color w:val="000000" w:themeColor="text1"/>
          <w:szCs w:val="21"/>
          <w14:textFill>
            <w14:solidFill>
              <w14:schemeClr w14:val="tx1"/>
            </w14:solidFill>
          </w14:textFill>
        </w:rPr>
        <w:t>；科技体制改革推动形成与新质生产力相适应的生产关系，以体制机制创新带动科技创新。（6分）</w:t>
      </w:r>
    </w:p>
    <w:p>
      <w:pPr>
        <w:rPr>
          <w:rFonts w:ascii="宋体" w:hAnsi="宋体" w:eastAsia="宋体"/>
          <w:color w:val="000000" w:themeColor="text1"/>
          <w14:textFill>
            <w14:solidFill>
              <w14:schemeClr w14:val="tx1"/>
            </w14:solidFill>
          </w14:textFill>
        </w:rPr>
      </w:pP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4.（2024东城一模</w:t>
      </w:r>
      <w:r>
        <w:rPr>
          <w:rFonts w:ascii="宋体" w:hAnsi="宋体" w:eastAsia="宋体"/>
          <w:color w:val="000000" w:themeColor="text1"/>
          <w14:textFill>
            <w14:solidFill>
              <w14:schemeClr w14:val="tx1"/>
            </w14:solidFill>
          </w14:textFill>
        </w:rPr>
        <w:t>20)加快构建新发展格局,是推动高质量发展的战略基点。</w:t>
      </w:r>
    </w:p>
    <w:p>
      <w:pPr>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材料一</w:t>
      </w:r>
      <w:r>
        <w:rPr>
          <w:rFonts w:ascii="宋体" w:hAnsi="宋体" w:eastAsia="宋体"/>
          <w:b/>
          <w:bCs/>
          <w:color w:val="000000" w:themeColor="text1"/>
          <w14:textFill>
            <w14:solidFill>
              <w14:schemeClr w14:val="tx1"/>
            </w14:solidFill>
          </w14:textFill>
        </w:rPr>
        <w:tab/>
      </w:r>
      <w:r>
        <w:rPr>
          <w:rFonts w:hint="eastAsia" w:ascii="宋体" w:hAnsi="宋体" w:eastAsia="宋体"/>
          <w:b/>
          <w:bCs/>
          <w:color w:val="000000" w:themeColor="text1"/>
          <w14:textFill>
            <w14:solidFill>
              <w14:schemeClr w14:val="tx1"/>
            </w14:solidFill>
          </w14:textFill>
        </w:rPr>
        <w:t xml:space="preserve"> </w:t>
      </w:r>
      <w:r>
        <w:rPr>
          <w:rFonts w:ascii="宋体" w:hAnsi="宋体" w:eastAsia="宋体"/>
          <w:b/>
          <w:bCs/>
          <w:color w:val="000000" w:themeColor="text1"/>
          <w14:textFill>
            <w14:solidFill>
              <w14:schemeClr w14:val="tx1"/>
            </w14:solidFill>
          </w14:textFill>
        </w:rPr>
        <w:t>释放“内循环”活力</w:t>
      </w:r>
      <w:r>
        <w:rPr>
          <w:rFonts w:ascii="宋体" w:hAnsi="宋体" w:eastAsia="宋体"/>
          <w:b/>
          <w:bCs/>
          <w:color w:val="000000" w:themeColor="text1"/>
          <w14:textFill>
            <w14:solidFill>
              <w14:schemeClr w14:val="tx1"/>
            </w14:solidFill>
          </w14:textFill>
        </w:rPr>
        <w:tab/>
      </w:r>
    </w:p>
    <w:p>
      <w:pPr>
        <w:ind w:firstLine="210" w:firstLineChars="1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围绕节能降碳、超低排放、智能化升级等方向</w:t>
      </w:r>
      <w:r>
        <w:rPr>
          <w:rFonts w:ascii="楷体" w:hAnsi="楷体" w:eastAsia="楷体"/>
          <w:color w:val="000000" w:themeColor="text1"/>
          <w14:textFill>
            <w14:solidFill>
              <w14:schemeClr w14:val="tx1"/>
            </w14:solidFill>
          </w14:textFill>
        </w:rPr>
        <w:t>,推进重点行业设备更新改造,开展汽车、家电、家居等耐用消费品以旧换新;实施降低物流成本行动……</w:t>
      </w:r>
    </w:p>
    <w:p>
      <w:pPr>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材料二</w:t>
      </w:r>
      <w:r>
        <w:rPr>
          <w:rFonts w:ascii="宋体" w:hAnsi="宋体" w:eastAsia="宋体"/>
          <w:b/>
          <w:bCs/>
          <w:color w:val="000000" w:themeColor="text1"/>
          <w14:textFill>
            <w14:solidFill>
              <w14:schemeClr w14:val="tx1"/>
            </w14:solidFill>
          </w14:textFill>
        </w:rPr>
        <w:tab/>
      </w:r>
      <w:r>
        <w:rPr>
          <w:rFonts w:ascii="宋体" w:hAnsi="宋体" w:eastAsia="宋体"/>
          <w:b/>
          <w:bCs/>
          <w:color w:val="000000" w:themeColor="text1"/>
          <w14:textFill>
            <w14:solidFill>
              <w14:schemeClr w14:val="tx1"/>
            </w14:solidFill>
          </w14:textFill>
        </w:rPr>
        <w:t>“外循环”跑出加速度</w:t>
      </w:r>
      <w:r>
        <w:rPr>
          <w:rFonts w:ascii="宋体" w:hAnsi="宋体" w:eastAsia="宋体"/>
          <w:b/>
          <w:bCs/>
          <w:color w:val="000000" w:themeColor="text1"/>
          <w14:textFill>
            <w14:solidFill>
              <w14:schemeClr w14:val="tx1"/>
            </w14:solidFill>
          </w14:textFill>
        </w:rPr>
        <w:tab/>
      </w:r>
    </w:p>
    <w:p>
      <w:pPr>
        <w:ind w:firstLine="210" w:firstLineChars="1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主动对照相关国际规则、规制、管理、标准</w:t>
      </w:r>
      <w:r>
        <w:rPr>
          <w:rFonts w:ascii="楷体" w:hAnsi="楷体" w:eastAsia="楷体"/>
          <w:color w:val="000000" w:themeColor="text1"/>
          <w14:textFill>
            <w14:solidFill>
              <w14:schemeClr w14:val="tx1"/>
            </w14:solidFill>
          </w14:textFill>
        </w:rPr>
        <w:t>,深化国内相关领域改革;全面取消制造业领域外资准入限制措施，放宽电信、医疗等服务业市场准入……</w:t>
      </w:r>
    </w:p>
    <w:p>
      <w:pPr>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结合材料</w:t>
      </w:r>
      <w:r>
        <w:rPr>
          <w:rFonts w:ascii="宋体" w:hAnsi="宋体" w:eastAsia="宋体"/>
          <w:color w:val="000000" w:themeColor="text1"/>
          <w14:textFill>
            <w14:solidFill>
              <w14:schemeClr w14:val="tx1"/>
            </w14:solidFill>
          </w14:textFill>
        </w:rPr>
        <w:t>,运用经济的相关知识，分析我国的上述措施如何通过构建新发展格局助力经济高质量发展。</w:t>
      </w:r>
      <w:r>
        <w:rPr>
          <w:rFonts w:hint="eastAsia" w:ascii="宋体" w:hAnsi="宋体" w:eastAsia="宋体"/>
          <w:color w:val="000000" w:themeColor="text1"/>
          <w14:textFill>
            <w14:solidFill>
              <w14:schemeClr w14:val="tx1"/>
            </w14:solidFill>
          </w14:textFill>
        </w:rPr>
        <w:t>（8分）</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推进重点行业设备更新改造和耐用消费品以旧换新，促进消费、拉动投资，推动产业结构升级，提高国民经济循环质量和水平；降低物流成本，减轻市场主体负担，激发活力，促进产业</w:t>
      </w:r>
      <w:r>
        <w:rPr>
          <w:rFonts w:hint="eastAsia" w:ascii="宋体" w:hAnsi="宋体" w:eastAsia="宋体"/>
          <w:color w:val="000000" w:themeColor="text1"/>
          <w14:textFill>
            <w14:solidFill>
              <w14:schemeClr w14:val="tx1"/>
            </w14:solidFill>
          </w14:textFill>
        </w:rPr>
        <w:t>链供应</w:t>
      </w:r>
      <w:r>
        <w:rPr>
          <w:rFonts w:hint="eastAsia" w:ascii="宋体" w:hAnsi="宋体" w:eastAsia="宋体"/>
          <w:color w:val="000000" w:themeColor="text1"/>
          <w14:textFill>
            <w14:solidFill>
              <w14:schemeClr w14:val="tx1"/>
            </w14:solidFill>
          </w14:textFill>
        </w:rPr>
        <w:t>链畅通，增强国内大循环内生动力和可靠性。对</w:t>
      </w:r>
      <w:r>
        <w:rPr>
          <w:rFonts w:hint="eastAsia" w:ascii="宋体" w:hAnsi="宋体" w:eastAsia="宋体"/>
          <w:color w:val="000000" w:themeColor="text1"/>
          <w14:textFill>
            <w14:solidFill>
              <w14:schemeClr w14:val="tx1"/>
            </w14:solidFill>
          </w14:textFill>
        </w:rPr>
        <w:t>标国际</w:t>
      </w:r>
      <w:r>
        <w:rPr>
          <w:rFonts w:hint="eastAsia" w:ascii="宋体" w:hAnsi="宋体" w:eastAsia="宋体"/>
          <w:color w:val="000000" w:themeColor="text1"/>
          <w14:textFill>
            <w14:solidFill>
              <w14:schemeClr w14:val="tx1"/>
            </w14:solidFill>
          </w14:textFill>
        </w:rPr>
        <w:t>规则，推进制度型开放，深入融入经济全球化，推进高水平对外开放；逐步放宽市场准入，依托我国超大市场优势，以国内大循环吸引全球资源要素，增强国内国际两个市场两种资源联动效应，提升贸易投资合作质量和水平，推动高质量发展。</w:t>
      </w:r>
    </w:p>
    <w:p>
      <w:pPr>
        <w:rPr>
          <w:rFonts w:ascii="楷体" w:hAnsi="楷体" w:eastAsia="楷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 xml:space="preserve">（2024东城一模 </w:t>
      </w:r>
      <w:r>
        <w:rPr>
          <w:rFonts w:ascii="宋体" w:hAnsi="宋体" w:eastAsia="宋体"/>
          <w:color w:val="000000" w:themeColor="text1"/>
          <w14:textFill>
            <w14:solidFill>
              <w14:schemeClr w14:val="tx1"/>
            </w14:solidFill>
          </w14:textFill>
        </w:rPr>
        <w:t>21</w:t>
      </w:r>
      <w:r>
        <w:rPr>
          <w:rFonts w:hint="eastAsia" w:ascii="宋体" w:hAnsi="宋体" w:eastAsia="宋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瓣瓣同心心相连,京畿大地起宏图。</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十年携手、十年并进</w:t>
      </w:r>
      <w:r>
        <w:rPr>
          <w:rFonts w:ascii="楷体" w:hAnsi="楷体" w:eastAsia="楷体"/>
          <w:color w:val="000000" w:themeColor="text1"/>
          <w14:textFill>
            <w14:solidFill>
              <w14:schemeClr w14:val="tx1"/>
            </w14:solidFill>
          </w14:textFill>
        </w:rPr>
        <w:t>,京津冀三地致力于提速“通勤圈”、优化“功能圈”、打造“产业圈”,现代化首都都市圈建设欣欣向荣、生机勃勃。</w:t>
      </w:r>
    </w:p>
    <w:p>
      <w:pPr>
        <w:ind w:firstLine="1687" w:firstLineChars="800"/>
        <w:rPr>
          <w:rFonts w:ascii="楷体" w:hAnsi="楷体" w:eastAsia="楷体"/>
          <w:b/>
          <w:bCs/>
          <w:color w:val="000000" w:themeColor="text1"/>
          <w14:textFill>
            <w14:solidFill>
              <w14:schemeClr w14:val="tx1"/>
            </w14:solidFill>
          </w14:textFill>
        </w:rPr>
      </w:pPr>
      <w:r>
        <w:rPr>
          <w:rFonts w:ascii="楷体" w:hAnsi="楷体" w:eastAsia="楷体"/>
          <w:b/>
          <w:bCs/>
          <w:color w:val="000000" w:themeColor="text1"/>
          <w14:textFill>
            <w14:solidFill>
              <w14:schemeClr w14:val="tx1"/>
            </w14:solidFill>
          </w14:textFill>
        </w:rPr>
        <w:t>提速“通勤圈”,“轨道上的京津冀”跑出加速度</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形成了多节点、网格状、全覆盖的综合交通网络体系，构建了京津冀区域内地级市半小时、一小时交通圈。</w:t>
      </w:r>
    </w:p>
    <w:p>
      <w:pPr>
        <w:ind w:firstLine="1687" w:firstLineChars="800"/>
        <w:rPr>
          <w:rFonts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优化“功能圈”</w:t>
      </w:r>
      <w:r>
        <w:rPr>
          <w:rFonts w:ascii="楷体" w:hAnsi="楷体" w:eastAsia="楷体"/>
          <w:b/>
          <w:bCs/>
          <w:color w:val="000000" w:themeColor="text1"/>
          <w14:textFill>
            <w14:solidFill>
              <w14:schemeClr w14:val="tx1"/>
            </w14:solidFill>
          </w14:textFill>
        </w:rPr>
        <w:t>,“一核两翼”格局日渐清晰</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抓住疏解非首都功能这个“牛鼻子”</w:t>
      </w:r>
      <w:r>
        <w:rPr>
          <w:rFonts w:ascii="楷体" w:hAnsi="楷体" w:eastAsia="楷体"/>
          <w:color w:val="000000" w:themeColor="text1"/>
          <w14:textFill>
            <w14:solidFill>
              <w14:schemeClr w14:val="tx1"/>
            </w14:solidFill>
          </w14:textFill>
        </w:rPr>
        <w:t>,北京发挥“一核”辐射带动作用,推动雄安新区和北京城市副中心“两翼”齐飞,形成错位联动发展格局。</w:t>
      </w:r>
    </w:p>
    <w:p>
      <w:pPr>
        <w:ind w:firstLine="1687" w:firstLineChars="800"/>
        <w:rPr>
          <w:rFonts w:ascii="楷体" w:hAnsi="楷体" w:eastAsia="楷体"/>
          <w:b/>
          <w:bCs/>
          <w:color w:val="000000" w:themeColor="text1"/>
          <w14:textFill>
            <w14:solidFill>
              <w14:schemeClr w14:val="tx1"/>
            </w14:solidFill>
          </w14:textFill>
        </w:rPr>
      </w:pPr>
      <w:r>
        <w:rPr>
          <w:rFonts w:hint="eastAsia" w:ascii="楷体" w:hAnsi="楷体" w:eastAsia="楷体"/>
          <w:b/>
          <w:bCs/>
          <w:color w:val="000000" w:themeColor="text1"/>
          <w14:textFill>
            <w14:solidFill>
              <w14:schemeClr w14:val="tx1"/>
            </w14:solidFill>
          </w14:textFill>
        </w:rPr>
        <w:t>打造“产业圈”</w:t>
      </w:r>
      <w:r>
        <w:rPr>
          <w:rFonts w:ascii="楷体" w:hAnsi="楷体" w:eastAsia="楷体"/>
          <w:b/>
          <w:bCs/>
          <w:color w:val="000000" w:themeColor="text1"/>
          <w14:textFill>
            <w14:solidFill>
              <w14:schemeClr w14:val="tx1"/>
            </w14:solidFill>
          </w14:textFill>
        </w:rPr>
        <w:t>,“北京研发、津冀制造”模式加速形成</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在北京研发，在河北和天津进行成果转化</w:t>
      </w:r>
      <w:r>
        <w:rPr>
          <w:rFonts w:ascii="楷体" w:hAnsi="楷体" w:eastAsia="楷体"/>
          <w:color w:val="000000" w:themeColor="text1"/>
          <w14:textFill>
            <w14:solidFill>
              <w14:schemeClr w14:val="tx1"/>
            </w14:solidFill>
          </w14:textFill>
        </w:rPr>
        <w:t>,成为了经济发展新模式。京津冀联合绘制新能源、智能网联汽车等6条产业链图谱。</w:t>
      </w:r>
    </w:p>
    <w:p>
      <w:pPr>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结合材料</w:t>
      </w:r>
      <w:r>
        <w:rPr>
          <w:rFonts w:ascii="宋体" w:hAnsi="宋体" w:eastAsia="宋体"/>
          <w:color w:val="000000" w:themeColor="text1"/>
          <w14:textFill>
            <w14:solidFill>
              <w14:schemeClr w14:val="tx1"/>
            </w14:solidFill>
          </w14:textFill>
        </w:rPr>
        <w:t>,运用所学,阐述“三圈”联动如何促进现代化首都都市圈高质量发展。</w:t>
      </w:r>
      <w:r>
        <w:rPr>
          <w:rFonts w:hint="eastAsia" w:ascii="宋体" w:hAnsi="宋体" w:eastAsia="宋体"/>
          <w:color w:val="000000" w:themeColor="text1"/>
          <w14:textFill>
            <w14:solidFill>
              <w14:schemeClr w14:val="tx1"/>
            </w14:solidFill>
          </w14:textFill>
        </w:rPr>
        <w:t>（7分）</w:t>
      </w:r>
    </w:p>
    <w:p>
      <w:pPr>
        <w:spacing w:line="440" w:lineRule="exact"/>
        <w:ind w:firstLine="525" w:firstLineChars="250"/>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s="Times New Roman"/>
          <w:color w:val="000000" w:themeColor="text1"/>
          <w:szCs w:val="21"/>
          <w14:textFill>
            <w14:solidFill>
              <w14:schemeClr w14:val="tx1"/>
            </w14:solidFill>
          </w14:textFill>
          <w14:ligatures w14:val="none"/>
        </w:rPr>
        <w:t>可从以人民为中心发展思想、系统优化、现代化产业体系</w:t>
      </w:r>
      <w:r>
        <w:rPr>
          <w:rFonts w:ascii="宋体" w:hAnsi="宋体" w:eastAsia="宋体" w:cs="Times New Roman"/>
          <w:color w:val="000000" w:themeColor="text1"/>
          <w:szCs w:val="21"/>
          <w14:textFill>
            <w14:solidFill>
              <w14:schemeClr w14:val="tx1"/>
            </w14:solidFill>
          </w14:textFill>
          <w14:ligatures w14:val="none"/>
        </w:rPr>
        <w:t>等</w:t>
      </w:r>
      <w:r>
        <w:rPr>
          <w:rFonts w:hint="eastAsia" w:ascii="宋体" w:hAnsi="宋体" w:eastAsia="宋体" w:cs="Times New Roman"/>
          <w:color w:val="000000" w:themeColor="text1"/>
          <w:szCs w:val="21"/>
          <w14:textFill>
            <w14:solidFill>
              <w14:schemeClr w14:val="tx1"/>
            </w14:solidFill>
          </w14:textFill>
          <w14:ligatures w14:val="none"/>
        </w:rPr>
        <w:t>角度回答。</w:t>
      </w:r>
    </w:p>
    <w:tbl>
      <w:tblPr>
        <w:tblStyle w:val="5"/>
        <w:tblW w:w="793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6520"/>
      </w:tblGrid>
      <w:tr>
        <w:tblPrEx>
          <w:tblLayout w:type="fixed"/>
        </w:tblPrEx>
        <w:trPr>
          <w:trHeight w:val="526" w:hRule="atLeast"/>
          <w:jc w:val="center"/>
        </w:trPr>
        <w:tc>
          <w:tcPr>
            <w:tcW w:w="1413"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等级</w:t>
            </w:r>
            <w:r>
              <w:rPr>
                <w:rFonts w:ascii="宋体" w:hAnsi="宋体" w:eastAsia="宋体" w:cs="Times New Roman"/>
                <w:color w:val="000000" w:themeColor="text1"/>
                <w:szCs w:val="21"/>
                <w14:textFill>
                  <w14:solidFill>
                    <w14:schemeClr w14:val="tx1"/>
                  </w14:solidFill>
                </w14:textFill>
                <w14:ligatures w14:val="none"/>
              </w:rPr>
              <w:t>水平</w:t>
            </w:r>
          </w:p>
        </w:tc>
        <w:tc>
          <w:tcPr>
            <w:tcW w:w="6520"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 xml:space="preserve">等  级  </w:t>
            </w:r>
            <w:r>
              <w:rPr>
                <w:rFonts w:ascii="宋体" w:hAnsi="宋体" w:eastAsia="宋体" w:cs="Times New Roman"/>
                <w:color w:val="000000" w:themeColor="text1"/>
                <w:szCs w:val="21"/>
                <w14:textFill>
                  <w14:solidFill>
                    <w14:schemeClr w14:val="tx1"/>
                  </w14:solidFill>
                </w14:textFill>
                <w14:ligatures w14:val="none"/>
              </w:rPr>
              <w:t>描</w:t>
            </w:r>
            <w:r>
              <w:rPr>
                <w:rFonts w:hint="eastAsia" w:ascii="宋体" w:hAnsi="宋体" w:eastAsia="宋体" w:cs="Times New Roman"/>
                <w:color w:val="000000" w:themeColor="text1"/>
                <w:szCs w:val="21"/>
                <w14:textFill>
                  <w14:solidFill>
                    <w14:schemeClr w14:val="tx1"/>
                  </w14:solidFill>
                </w14:textFill>
                <w14:ligatures w14:val="none"/>
              </w:rPr>
              <w:t xml:space="preserve">  </w:t>
            </w:r>
            <w:r>
              <w:rPr>
                <w:rFonts w:ascii="宋体" w:hAnsi="宋体" w:eastAsia="宋体" w:cs="Times New Roman"/>
                <w:color w:val="000000" w:themeColor="text1"/>
                <w:szCs w:val="21"/>
                <w14:textFill>
                  <w14:solidFill>
                    <w14:schemeClr w14:val="tx1"/>
                  </w14:solidFill>
                </w14:textFill>
                <w14:ligatures w14:val="none"/>
              </w:rPr>
              <w:t>述</w:t>
            </w:r>
          </w:p>
        </w:tc>
      </w:tr>
      <w:tr>
        <w:tblPrEx>
          <w:tblLayout w:type="fixed"/>
        </w:tblPrEx>
        <w:trPr>
          <w:trHeight w:val="526" w:hRule="atLeast"/>
          <w:jc w:val="center"/>
        </w:trPr>
        <w:tc>
          <w:tcPr>
            <w:tcW w:w="1413"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水平4</w:t>
            </w:r>
          </w:p>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（5</w:t>
            </w:r>
            <w:r>
              <w:rPr>
                <w:rFonts w:ascii="宋体" w:hAnsi="宋体" w:eastAsia="宋体" w:cs="Times New Roman"/>
                <w:color w:val="000000" w:themeColor="text1"/>
                <w:szCs w:val="21"/>
                <w14:textFill>
                  <w14:solidFill>
                    <w14:schemeClr w14:val="tx1"/>
                  </w14:solidFill>
                </w14:textFill>
                <w14:ligatures w14:val="none"/>
              </w:rPr>
              <w:t>-</w:t>
            </w:r>
            <w:r>
              <w:rPr>
                <w:rFonts w:hint="eastAsia" w:ascii="宋体" w:hAnsi="宋体" w:eastAsia="宋体" w:cs="Times New Roman"/>
                <w:color w:val="000000" w:themeColor="text1"/>
                <w:szCs w:val="21"/>
                <w14:textFill>
                  <w14:solidFill>
                    <w14:schemeClr w14:val="tx1"/>
                  </w14:solidFill>
                </w14:textFill>
                <w14:ligatures w14:val="none"/>
              </w:rPr>
              <w:t>7分）</w:t>
            </w:r>
          </w:p>
        </w:tc>
        <w:tc>
          <w:tcPr>
            <w:tcW w:w="6520" w:type="dxa"/>
            <w:vAlign w:val="center"/>
          </w:tcPr>
          <w:p>
            <w:pPr>
              <w:tabs>
                <w:tab w:val="left" w:pos="1890"/>
                <w:tab w:val="left" w:pos="3360"/>
                <w:tab w:val="left" w:pos="4830"/>
                <w:tab w:val="left" w:pos="6300"/>
              </w:tabs>
              <w:spacing w:line="440" w:lineRule="exact"/>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观点鲜明，能明确表达自己的见解；紧扣问题，</w:t>
            </w:r>
            <w:r>
              <w:rPr>
                <w:rFonts w:hint="eastAsia" w:ascii="宋体" w:hAnsi="宋体" w:eastAsia="宋体" w:cs="Times New Roman"/>
                <w:color w:val="000000" w:themeColor="text1"/>
                <w:szCs w:val="21"/>
                <w14:textFill>
                  <w14:solidFill>
                    <w14:schemeClr w14:val="tx1"/>
                  </w14:solidFill>
                </w14:textFill>
                <w14:ligatures w14:val="none"/>
              </w:rPr>
              <w:t>综合运用所学知识展</w:t>
            </w:r>
            <w:r>
              <w:rPr>
                <w:rFonts w:hint="eastAsia" w:ascii="宋体" w:hAnsi="宋体" w:eastAsia="宋体" w:cs="Times New Roman"/>
                <w:color w:val="000000" w:themeColor="text1"/>
                <w:szCs w:val="21"/>
                <w14:textFill>
                  <w14:solidFill>
                    <w14:schemeClr w14:val="tx1"/>
                  </w14:solidFill>
                </w14:textFill>
                <w14:ligatures w14:val="none"/>
              </w:rPr>
              <w:t>开</w:t>
            </w:r>
            <w:r>
              <w:rPr>
                <w:rFonts w:ascii="宋体" w:hAnsi="宋体" w:eastAsia="宋体" w:cs="Times New Roman"/>
                <w:color w:val="000000" w:themeColor="text1"/>
                <w:szCs w:val="21"/>
                <w14:textFill>
                  <w14:solidFill>
                    <w14:schemeClr w14:val="tx1"/>
                  </w14:solidFill>
                </w14:textFill>
                <w14:ligatures w14:val="none"/>
              </w:rPr>
              <w:t>论述；逻辑严密，条理清晰</w:t>
            </w:r>
          </w:p>
        </w:tc>
      </w:tr>
      <w:tr>
        <w:tblPrEx>
          <w:tblLayout w:type="fixed"/>
        </w:tblPrEx>
        <w:trPr>
          <w:trHeight w:val="526" w:hRule="atLeast"/>
          <w:jc w:val="center"/>
        </w:trPr>
        <w:tc>
          <w:tcPr>
            <w:tcW w:w="1413"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水平3</w:t>
            </w:r>
          </w:p>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（3</w:t>
            </w:r>
            <w:r>
              <w:rPr>
                <w:rFonts w:ascii="宋体" w:hAnsi="宋体" w:eastAsia="宋体" w:cs="Times New Roman"/>
                <w:color w:val="000000" w:themeColor="text1"/>
                <w:szCs w:val="21"/>
                <w14:textFill>
                  <w14:solidFill>
                    <w14:schemeClr w14:val="tx1"/>
                  </w14:solidFill>
                </w14:textFill>
                <w14:ligatures w14:val="none"/>
              </w:rPr>
              <w:t>-</w:t>
            </w:r>
            <w:r>
              <w:rPr>
                <w:rFonts w:hint="eastAsia" w:ascii="宋体" w:hAnsi="宋体" w:eastAsia="宋体" w:cs="Times New Roman"/>
                <w:color w:val="000000" w:themeColor="text1"/>
                <w:szCs w:val="21"/>
                <w14:textFill>
                  <w14:solidFill>
                    <w14:schemeClr w14:val="tx1"/>
                  </w14:solidFill>
                </w14:textFill>
                <w14:ligatures w14:val="none"/>
              </w:rPr>
              <w:t>4分）</w:t>
            </w:r>
          </w:p>
        </w:tc>
        <w:tc>
          <w:tcPr>
            <w:tcW w:w="6520" w:type="dxa"/>
            <w:vAlign w:val="center"/>
          </w:tcPr>
          <w:p>
            <w:pPr>
              <w:tabs>
                <w:tab w:val="left" w:pos="1890"/>
                <w:tab w:val="left" w:pos="3360"/>
                <w:tab w:val="left" w:pos="4830"/>
                <w:tab w:val="left" w:pos="6300"/>
              </w:tabs>
              <w:spacing w:line="440" w:lineRule="exact"/>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观点比较明确，能表达自己的见解；能扣住问题展开论述，知识运用比较准确；逻辑性较强，有条理</w:t>
            </w:r>
          </w:p>
        </w:tc>
      </w:tr>
      <w:tr>
        <w:tblPrEx>
          <w:tblLayout w:type="fixed"/>
        </w:tblPrEx>
        <w:trPr>
          <w:trHeight w:val="526" w:hRule="atLeast"/>
          <w:jc w:val="center"/>
        </w:trPr>
        <w:tc>
          <w:tcPr>
            <w:tcW w:w="1413"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水平2</w:t>
            </w:r>
          </w:p>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（1</w:t>
            </w:r>
            <w:r>
              <w:rPr>
                <w:rFonts w:ascii="宋体" w:hAnsi="宋体" w:eastAsia="宋体" w:cs="Times New Roman"/>
                <w:color w:val="000000" w:themeColor="text1"/>
                <w:szCs w:val="21"/>
                <w14:textFill>
                  <w14:solidFill>
                    <w14:schemeClr w14:val="tx1"/>
                  </w14:solidFill>
                </w14:textFill>
                <w14:ligatures w14:val="none"/>
              </w:rPr>
              <w:t>-2</w:t>
            </w:r>
            <w:r>
              <w:rPr>
                <w:rFonts w:hint="eastAsia" w:ascii="宋体" w:hAnsi="宋体" w:eastAsia="宋体" w:cs="Times New Roman"/>
                <w:color w:val="000000" w:themeColor="text1"/>
                <w:szCs w:val="21"/>
                <w14:textFill>
                  <w14:solidFill>
                    <w14:schemeClr w14:val="tx1"/>
                  </w14:solidFill>
                </w14:textFill>
                <w14:ligatures w14:val="none"/>
              </w:rPr>
              <w:t>分）</w:t>
            </w:r>
          </w:p>
        </w:tc>
        <w:tc>
          <w:tcPr>
            <w:tcW w:w="6520" w:type="dxa"/>
            <w:vAlign w:val="center"/>
          </w:tcPr>
          <w:p>
            <w:pPr>
              <w:tabs>
                <w:tab w:val="left" w:pos="1890"/>
                <w:tab w:val="left" w:pos="3360"/>
                <w:tab w:val="left" w:pos="4830"/>
                <w:tab w:val="left" w:pos="6300"/>
              </w:tabs>
              <w:spacing w:line="440" w:lineRule="exact"/>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观点不明确；论述不能集中指向问题，罗列知识；知识运用不正确；论述缺乏逻辑，条理性差</w:t>
            </w:r>
          </w:p>
        </w:tc>
      </w:tr>
      <w:tr>
        <w:tblPrEx>
          <w:tblLayout w:type="fixed"/>
        </w:tblPrEx>
        <w:trPr>
          <w:trHeight w:val="526" w:hRule="atLeast"/>
          <w:jc w:val="center"/>
        </w:trPr>
        <w:tc>
          <w:tcPr>
            <w:tcW w:w="1413" w:type="dxa"/>
            <w:vAlign w:val="center"/>
          </w:tcPr>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水平1</w:t>
            </w:r>
          </w:p>
          <w:p>
            <w:pPr>
              <w:tabs>
                <w:tab w:val="left" w:pos="1890"/>
                <w:tab w:val="left" w:pos="3360"/>
                <w:tab w:val="left" w:pos="4830"/>
                <w:tab w:val="left" w:pos="6300"/>
              </w:tabs>
              <w:spacing w:line="440" w:lineRule="exact"/>
              <w:jc w:val="center"/>
              <w:rPr>
                <w:rFonts w:ascii="宋体" w:hAnsi="宋体" w:eastAsia="宋体" w:cs="Times New Roman"/>
                <w:color w:val="000000" w:themeColor="text1"/>
                <w:szCs w:val="21"/>
                <w14:textFill>
                  <w14:solidFill>
                    <w14:schemeClr w14:val="tx1"/>
                  </w14:solidFill>
                </w14:textFill>
                <w14:ligatures w14:val="none"/>
              </w:rPr>
            </w:pPr>
            <w:r>
              <w:rPr>
                <w:rFonts w:hint="eastAsia" w:ascii="宋体" w:hAnsi="宋体" w:eastAsia="宋体" w:cs="Times New Roman"/>
                <w:color w:val="000000" w:themeColor="text1"/>
                <w:szCs w:val="21"/>
                <w14:textFill>
                  <w14:solidFill>
                    <w14:schemeClr w14:val="tx1"/>
                  </w14:solidFill>
                </w14:textFill>
                <w14:ligatures w14:val="none"/>
              </w:rPr>
              <w:t>（0分）</w:t>
            </w:r>
          </w:p>
        </w:tc>
        <w:tc>
          <w:tcPr>
            <w:tcW w:w="6520" w:type="dxa"/>
            <w:vAlign w:val="center"/>
          </w:tcPr>
          <w:p>
            <w:pPr>
              <w:tabs>
                <w:tab w:val="left" w:pos="1890"/>
                <w:tab w:val="left" w:pos="3360"/>
                <w:tab w:val="left" w:pos="4830"/>
                <w:tab w:val="left" w:pos="6300"/>
              </w:tabs>
              <w:spacing w:line="440" w:lineRule="exact"/>
              <w:rPr>
                <w:rFonts w:ascii="宋体" w:hAnsi="宋体" w:eastAsia="宋体" w:cs="Times New Roman"/>
                <w:color w:val="000000" w:themeColor="text1"/>
                <w:szCs w:val="21"/>
                <w14:textFill>
                  <w14:solidFill>
                    <w14:schemeClr w14:val="tx1"/>
                  </w14:solidFill>
                </w14:textFill>
                <w14:ligatures w14:val="none"/>
              </w:rPr>
            </w:pPr>
            <w:r>
              <w:rPr>
                <w:rFonts w:ascii="宋体" w:hAnsi="宋体" w:eastAsia="宋体" w:cs="Times New Roman"/>
                <w:color w:val="000000" w:themeColor="text1"/>
                <w:szCs w:val="21"/>
                <w14:textFill>
                  <w14:solidFill>
                    <w14:schemeClr w14:val="tx1"/>
                  </w14:solidFill>
                </w14:textFill>
                <w14:ligatures w14:val="none"/>
              </w:rPr>
              <w:t>应答与试题无关；或重复试题内容；或没有应答</w:t>
            </w:r>
          </w:p>
        </w:tc>
      </w:tr>
    </w:tbl>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p>
    <w:p>
      <w:pPr>
        <w:rPr>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6.</w:t>
      </w:r>
      <w:r>
        <w:rPr>
          <w:rFonts w:hint="eastAsia"/>
          <w:color w:val="000000" w:themeColor="text1"/>
          <w14:textFill>
            <w14:solidFill>
              <w14:schemeClr w14:val="tx1"/>
            </w14:solidFill>
          </w14:textFill>
        </w:rPr>
        <w:t>（2024西城一模19）</w:t>
      </w:r>
    </w:p>
    <w:p>
      <w:pPr>
        <w:ind w:firstLine="630" w:firstLineChars="300"/>
        <w:jc w:val="left"/>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未来产业由前沿技术驱动，是具有显著战略性、引领性、颠覆性和不确定性的前瞻性新兴产业，当前处于孕育萌发阶段或产业化初期。</w:t>
      </w:r>
    </w:p>
    <w:p>
      <w:pPr>
        <w:snapToGrid w:val="0"/>
        <w:ind w:firstLine="424" w:firstLineChars="202"/>
        <w:jc w:val="center"/>
        <w:rPr>
          <w:color w:val="000000" w:themeColor="text1"/>
          <w:sz w:val="10"/>
          <w:szCs w:val="10"/>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3360" behindDoc="0" locked="0" layoutInCell="1" allowOverlap="1">
            <wp:simplePos x="0" y="0"/>
            <wp:positionH relativeFrom="margin">
              <wp:posOffset>582930</wp:posOffset>
            </wp:positionH>
            <wp:positionV relativeFrom="paragraph">
              <wp:posOffset>160655</wp:posOffset>
            </wp:positionV>
            <wp:extent cx="4356100" cy="2173605"/>
            <wp:effectExtent l="0" t="0" r="635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56100" cy="2173605"/>
                    </a:xfrm>
                    <a:prstGeom prst="rect">
                      <a:avLst/>
                    </a:prstGeom>
                  </pic:spPr>
                </pic:pic>
              </a:graphicData>
            </a:graphic>
          </wp:anchor>
        </w:drawing>
      </w:r>
    </w:p>
    <w:p>
      <w:pPr>
        <w:ind w:firstLine="200" w:firstLineChars="200"/>
        <w:jc w:val="left"/>
        <w:rPr>
          <w:color w:val="000000" w:themeColor="text1"/>
          <w:sz w:val="10"/>
          <w:szCs w:val="10"/>
          <w14:textFill>
            <w14:solidFill>
              <w14:schemeClr w14:val="tx1"/>
            </w14:solidFill>
          </w14:textFill>
        </w:rPr>
      </w:pPr>
    </w:p>
    <w:p>
      <w:pPr>
        <w:ind w:firstLine="424" w:firstLineChars="202"/>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2022年度全球未来产业发展指数排名前6位国家六大产业情况</w:t>
      </w:r>
    </w:p>
    <w:p>
      <w:pPr>
        <w:jc w:val="right"/>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r>
        <w:rPr>
          <w:rFonts w:hint="eastAsia"/>
          <w:color w:val="000000" w:themeColor="text1"/>
          <w14:textFill>
            <w14:solidFill>
              <w14:schemeClr w14:val="tx1"/>
            </w14:solidFill>
          </w14:textFill>
        </w:rPr>
        <w:t>（1）读上图，分析我国未来产业发展的状况。（3分）</w:t>
      </w:r>
    </w:p>
    <w:p>
      <w:pPr>
        <w:spacing w:line="288" w:lineRule="auto"/>
        <w:ind w:firstLine="447" w:firstLineChars="21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我国未来产业的六大领域发展较为均衡，量子信息、绿色能源、机器人、元宇宙和先进通信的产业优势突出，但在排名前6位的国家中，生物技术方面有差距。</w:t>
      </w:r>
    </w:p>
    <w:p>
      <w:pPr>
        <w:spacing w:line="288" w:lineRule="auto"/>
        <w:ind w:firstLine="447" w:firstLineChars="213"/>
        <w:rPr>
          <w:rFonts w:ascii="楷体" w:hAnsi="楷体" w:eastAsia="楷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我国新型举国体制不断完善，为国民经济和社会发展主要领域提供支撑、保障和引领。</w:t>
      </w:r>
    </w:p>
    <w:tbl>
      <w:tblPr>
        <w:tblStyle w:val="6"/>
        <w:tblpPr w:leftFromText="180" w:rightFromText="180" w:vertAnchor="text" w:horzAnchor="margin" w:tblpXSpec="right" w:tblpY="241"/>
        <w:tblW w:w="54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93"/>
        <w:gridCol w:w="1088"/>
        <w:gridCol w:w="1088"/>
        <w:gridCol w:w="1089"/>
        <w:gridCol w:w="1342"/>
      </w:tblGrid>
      <w:tr>
        <w:tblPrEx>
          <w:tblLayout w:type="fixed"/>
        </w:tblPrEx>
        <w:trPr>
          <w:trHeight w:val="416" w:hRule="atLeast"/>
        </w:trPr>
        <w:tc>
          <w:tcPr>
            <w:tcW w:w="5400" w:type="dxa"/>
            <w:gridSpan w:val="5"/>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新型举国体制的适用范围</w:t>
            </w:r>
          </w:p>
        </w:tc>
      </w:tr>
      <w:tr>
        <w:tblPrEx>
          <w:tblLayout w:type="fixed"/>
        </w:tblPrEx>
        <w:trPr>
          <w:trHeight w:val="685" w:hRule="atLeast"/>
        </w:trPr>
        <w:tc>
          <w:tcPr>
            <w:tcW w:w="793" w:type="dxa"/>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方向</w:t>
            </w:r>
          </w:p>
        </w:tc>
        <w:tc>
          <w:tcPr>
            <w:tcW w:w="1088" w:type="dxa"/>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面向世界科技前沿</w:t>
            </w:r>
          </w:p>
        </w:tc>
        <w:tc>
          <w:tcPr>
            <w:tcW w:w="1088" w:type="dxa"/>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面向经济主战场</w:t>
            </w:r>
          </w:p>
        </w:tc>
        <w:tc>
          <w:tcPr>
            <w:tcW w:w="1089" w:type="dxa"/>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面向国家重大需求</w:t>
            </w:r>
          </w:p>
        </w:tc>
        <w:tc>
          <w:tcPr>
            <w:tcW w:w="1342" w:type="dxa"/>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面向人民生命健康</w:t>
            </w:r>
          </w:p>
        </w:tc>
      </w:tr>
      <w:tr>
        <w:tblPrEx>
          <w:tblLayout w:type="fixed"/>
        </w:tblPrEx>
        <w:trPr>
          <w:trHeight w:val="685" w:hRule="atLeast"/>
        </w:trPr>
        <w:tc>
          <w:tcPr>
            <w:tcW w:w="793" w:type="dxa"/>
            <w:vMerge w:val="restart"/>
            <w:vAlign w:val="center"/>
          </w:tcPr>
          <w:p>
            <w:pPr>
              <w:jc w:val="cente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领域</w:t>
            </w:r>
          </w:p>
        </w:tc>
        <w:tc>
          <w:tcPr>
            <w:tcW w:w="4607" w:type="dxa"/>
            <w:gridSpan w:val="4"/>
            <w:vAlign w:val="center"/>
          </w:tcPr>
          <w:p>
            <w:pP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战略性技术：关系国家安全和民生安全的重大战略性领域</w:t>
            </w:r>
          </w:p>
        </w:tc>
      </w:tr>
      <w:tr>
        <w:tblPrEx>
          <w:tblLayout w:type="fixed"/>
        </w:tblPrEx>
        <w:trPr>
          <w:trHeight w:val="685" w:hRule="atLeast"/>
        </w:trPr>
        <w:tc>
          <w:tcPr>
            <w:tcW w:w="793" w:type="dxa"/>
            <w:vMerge w:val="continue"/>
          </w:tcPr>
          <w:p>
            <w:pPr>
              <w:rPr>
                <w:rFonts w:ascii="楷体" w:hAnsi="楷体" w:eastAsia="楷体" w:cs="Times New Roman"/>
                <w:color w:val="000000" w:themeColor="text1"/>
                <w:kern w:val="0"/>
                <w:sz w:val="20"/>
                <w:szCs w:val="20"/>
                <w14:textFill>
                  <w14:solidFill>
                    <w14:schemeClr w14:val="tx1"/>
                  </w14:solidFill>
                </w14:textFill>
              </w:rPr>
            </w:pPr>
          </w:p>
        </w:tc>
        <w:tc>
          <w:tcPr>
            <w:tcW w:w="4607" w:type="dxa"/>
            <w:gridSpan w:val="4"/>
            <w:vAlign w:val="center"/>
          </w:tcPr>
          <w:p>
            <w:pP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前瞻性技术：关系国家核心竞争力的未来科技前沿领域</w:t>
            </w:r>
          </w:p>
        </w:tc>
      </w:tr>
      <w:tr>
        <w:tblPrEx>
          <w:tblLayout w:type="fixed"/>
        </w:tblPrEx>
        <w:trPr>
          <w:trHeight w:val="685" w:hRule="atLeast"/>
        </w:trPr>
        <w:tc>
          <w:tcPr>
            <w:tcW w:w="793" w:type="dxa"/>
            <w:vMerge w:val="continue"/>
          </w:tcPr>
          <w:p>
            <w:pPr>
              <w:rPr>
                <w:rFonts w:ascii="楷体" w:hAnsi="楷体" w:eastAsia="楷体" w:cs="Times New Roman"/>
                <w:color w:val="000000" w:themeColor="text1"/>
                <w:kern w:val="0"/>
                <w:sz w:val="20"/>
                <w:szCs w:val="20"/>
                <w14:textFill>
                  <w14:solidFill>
                    <w14:schemeClr w14:val="tx1"/>
                  </w14:solidFill>
                </w14:textFill>
              </w:rPr>
            </w:pPr>
          </w:p>
        </w:tc>
        <w:tc>
          <w:tcPr>
            <w:tcW w:w="4607" w:type="dxa"/>
            <w:gridSpan w:val="4"/>
            <w:vAlign w:val="center"/>
          </w:tcPr>
          <w:p>
            <w:pP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“卡脖子”技术：关系国家主导或先导产业共性关键技术短板领域</w:t>
            </w:r>
          </w:p>
        </w:tc>
      </w:tr>
      <w:tr>
        <w:tblPrEx>
          <w:tblLayout w:type="fixed"/>
        </w:tblPrEx>
        <w:trPr>
          <w:trHeight w:val="685" w:hRule="atLeast"/>
        </w:trPr>
        <w:tc>
          <w:tcPr>
            <w:tcW w:w="793" w:type="dxa"/>
            <w:vMerge w:val="continue"/>
          </w:tcPr>
          <w:p>
            <w:pPr>
              <w:rPr>
                <w:rFonts w:ascii="楷体" w:hAnsi="楷体" w:eastAsia="楷体" w:cs="Times New Roman"/>
                <w:color w:val="000000" w:themeColor="text1"/>
                <w:kern w:val="0"/>
                <w:sz w:val="20"/>
                <w:szCs w:val="20"/>
                <w14:textFill>
                  <w14:solidFill>
                    <w14:schemeClr w14:val="tx1"/>
                  </w14:solidFill>
                </w14:textFill>
              </w:rPr>
            </w:pPr>
          </w:p>
        </w:tc>
        <w:tc>
          <w:tcPr>
            <w:tcW w:w="4607" w:type="dxa"/>
            <w:gridSpan w:val="4"/>
            <w:vAlign w:val="center"/>
          </w:tcPr>
          <w:p>
            <w:pPr>
              <w:rPr>
                <w:rFonts w:ascii="楷体" w:hAnsi="楷体" w:eastAsia="楷体" w:cs="Times New Roman"/>
                <w:color w:val="000000" w:themeColor="text1"/>
                <w:kern w:val="0"/>
                <w:sz w:val="20"/>
                <w:szCs w:val="20"/>
                <w14:textFill>
                  <w14:solidFill>
                    <w14:schemeClr w14:val="tx1"/>
                  </w14:solidFill>
                </w14:textFill>
              </w:rPr>
            </w:pPr>
            <w:r>
              <w:rPr>
                <w:rFonts w:hint="eastAsia" w:ascii="楷体" w:hAnsi="楷体" w:eastAsia="楷体" w:cs="Times New Roman"/>
                <w:color w:val="000000" w:themeColor="text1"/>
                <w:kern w:val="0"/>
                <w:sz w:val="20"/>
                <w:szCs w:val="20"/>
                <w14:textFill>
                  <w14:solidFill>
                    <w14:schemeClr w14:val="tx1"/>
                  </w14:solidFill>
                </w14:textFill>
              </w:rPr>
              <w:t>防御性技术：关系国家产业链供应链安全的非普适性小众领域</w:t>
            </w:r>
          </w:p>
        </w:tc>
      </w:tr>
    </w:tbl>
    <w:p>
      <w:pPr>
        <w:ind w:firstLine="447" w:firstLineChars="213"/>
        <w:rPr>
          <w:color w:val="000000" w:themeColor="text1"/>
          <w14:textFill>
            <w14:solidFill>
              <w14:schemeClr w14:val="tx1"/>
            </w14:solidFill>
          </w14:textFill>
        </w:rPr>
      </w:pPr>
      <w:r>
        <w:rPr>
          <w:color w:val="000000" w:themeColor="text1"/>
          <w14:textFill>
            <w14:solidFill>
              <w14:schemeClr w14:val="tx1"/>
            </w14:solidFill>
          </w14:textFill>
        </w:rPr>
        <w:pict>
          <v:rect id="矩形 4" o:spid="_x0000_s2060" o:spt="1" style="position:absolute;left:0pt;margin-left:0.9pt;margin-top:11.6pt;height:199.4pt;width:133.2pt;z-index:251665408;v-text-anchor:middle;mso-width-relative:margin;mso-height-relative:margin;" fillcolor="#FFFFFF [3201]"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">
            <v:path/>
            <v:fill on="t" focussize="0,0"/>
            <v:stroke weight="1pt" color="#000000 [3213]"/>
            <v:imagedata o:title=""/>
            <o:lock v:ext="edit"/>
            <v:textbox>
              <w:txbxContent>
                <w:p>
                  <w:pPr>
                    <w:pStyle w:val="9"/>
                    <w:numPr>
                      <w:ilvl w:val="0"/>
                      <w:numId w:val="2"/>
                    </w:numPr>
                    <w:ind w:left="284" w:right="128" w:rightChars="61" w:hanging="284" w:firstLineChars="0"/>
                    <w:rPr>
                      <w:rFonts w:ascii="楷体" w:hAnsi="楷体" w:eastAsia="楷体"/>
                    </w:rPr>
                  </w:pPr>
                  <w:r>
                    <w:rPr>
                      <w:rFonts w:hint="eastAsia" w:ascii="楷体" w:hAnsi="楷体" w:eastAsia="楷体"/>
                      <w:sz w:val="22"/>
                    </w:rPr>
                    <w:t>举</w:t>
                  </w:r>
                  <w:r>
                    <w:rPr>
                      <w:rFonts w:hint="eastAsia" w:ascii="楷体" w:hAnsi="楷体" w:eastAsia="楷体"/>
                    </w:rPr>
                    <w:t>国体制是利用国家力量动员规模性资源、实现国家目标的一种任务组织方式和体制机制安排。</w:t>
                  </w:r>
                </w:p>
                <w:p>
                  <w:pPr>
                    <w:snapToGrid w:val="0"/>
                    <w:ind w:right="128" w:rightChars="61"/>
                    <w:jc w:val="left"/>
                    <w:rPr>
                      <w:rFonts w:ascii="楷体" w:hAnsi="楷体" w:eastAsia="楷体"/>
                      <w:sz w:val="11"/>
                    </w:rPr>
                  </w:pPr>
                </w:p>
                <w:p>
                  <w:pPr>
                    <w:pStyle w:val="9"/>
                    <w:numPr>
                      <w:ilvl w:val="0"/>
                      <w:numId w:val="2"/>
                    </w:numPr>
                    <w:ind w:left="284" w:right="128" w:rightChars="61" w:hanging="284" w:firstLineChars="0"/>
                    <w:rPr>
                      <w:rFonts w:ascii="楷体" w:hAnsi="楷体" w:eastAsia="楷体"/>
                    </w:rPr>
                  </w:pPr>
                  <w:r>
                    <w:rPr>
                      <w:rFonts w:hint="eastAsia" w:ascii="楷体" w:hAnsi="楷体" w:eastAsia="楷体"/>
                    </w:rPr>
                    <w:t>“两弹一星”、高速铁路、载人航天、大飞机、新冠疫苗攻关等都是运用举国体制实现国家目标的具体表现。</w:t>
                  </w:r>
                </w:p>
              </w:txbxContent>
            </v:textbox>
          </v:rect>
        </w:pict>
      </w:r>
    </w:p>
    <w:p>
      <w:pPr>
        <w:ind w:firstLine="447" w:firstLineChars="213"/>
        <w:rPr>
          <w:color w:val="000000" w:themeColor="text1"/>
          <w14:textFill>
            <w14:solidFill>
              <w14:schemeClr w14:val="tx1"/>
            </w14:solidFill>
          </w14:textFill>
        </w:rPr>
      </w:pPr>
      <w:r>
        <w:rPr>
          <w:color w:val="000000" w:themeColor="text1"/>
          <w14:textFill>
            <w14:solidFill>
              <w14:schemeClr w14:val="tx1"/>
            </w14:solidFill>
          </w14:textFill>
        </w:rPr>
        <w:pict>
          <v:shape id="右箭头 30" o:spid="_x0000_s2059" o:spt="13" type="#_x0000_t13" style="position:absolute;left:0pt;margin-left:129.25pt;margin-top:4.4pt;height:7.45pt;width:17.9pt;z-index:251666432;v-text-anchor:middle;mso-width-relative:margin;mso-height-relative:margin;" fillcolor="#FFFFFF [3201]"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" adj="17104">
            <v:path/>
            <v:fill on="t" focussize="0,0"/>
            <v:stroke weight="0.5pt" color="#000000 [3213]" joinstyle="miter"/>
            <v:imagedata o:title=""/>
            <o:lock v:ext="edit"/>
          </v:shape>
        </w:pict>
      </w: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ind w:firstLine="447" w:firstLineChars="213"/>
        <w:rPr>
          <w:color w:val="000000" w:themeColor="text1"/>
          <w14:textFill>
            <w14:solidFill>
              <w14:schemeClr w14:val="tx1"/>
            </w14:solidFill>
          </w14:textFill>
        </w:rPr>
      </w:pPr>
    </w:p>
    <w:p>
      <w:pPr>
        <w:jc w:val="center"/>
        <w:rPr>
          <w:color w:val="000000" w:themeColor="text1"/>
          <w14:textFill>
            <w14:solidFill>
              <w14:schemeClr w14:val="tx1"/>
            </w14:solidFill>
          </w14:textFill>
        </w:rPr>
      </w:pPr>
      <w:r>
        <w:rPr>
          <w:color w:val="000000" w:themeColor="text1"/>
          <w14:textFill>
            <w14:solidFill>
              <w14:schemeClr w14:val="tx1"/>
            </w14:solidFill>
          </w14:textFill>
        </w:rPr>
        <w:pict>
          <v:shape id="右箭头 31" o:spid="_x0000_s2058" o:spt="13" type="#_x0000_t13" style="position:absolute;left:0pt;margin-left:128.95pt;margin-top:4.2pt;height:7.45pt;width:17.85pt;z-index:251667456;v-text-anchor:middle;mso-width-relative:margin;mso-height-relative:margin;" fillcolor="#FFFFFF [3201]"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" adj="17092">
            <v:path/>
            <v:fill on="t" focussize="0,0"/>
            <v:stroke weight="0.5pt" color="#000000 [3213]" joinstyle="miter"/>
            <v:imagedata o:title=""/>
            <o:lock v:ext="edit"/>
          </v:shape>
        </w:pict>
      </w:r>
    </w:p>
    <w:p>
      <w:pPr>
        <w:ind w:firstLine="447" w:firstLineChars="213"/>
        <w:rPr>
          <w:color w:val="000000" w:themeColor="text1"/>
          <w14:textFill>
            <w14:solidFill>
              <w14:schemeClr w14:val="tx1"/>
            </w14:solidFill>
          </w14:textFill>
        </w:rPr>
      </w:pPr>
    </w:p>
    <w:p>
      <w:pPr>
        <w:spacing w:line="288" w:lineRule="auto"/>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党的十九届四中、五中全会均提出构建社会主义市场经济条件下关键核心技术攻关新型举国体制。党的二十大报告强调健全新型举国体制，提出</w:t>
      </w:r>
      <w:r>
        <w:rPr>
          <w:rFonts w:ascii="楷体" w:hAnsi="楷体" w:eastAsia="楷体"/>
          <w:color w:val="000000" w:themeColor="text1"/>
          <w14:textFill>
            <w14:solidFill>
              <w14:schemeClr w14:val="tx1"/>
            </w14:solidFill>
          </w14:textFill>
        </w:rPr>
        <w:t>加快实施创新驱动发展战略</w:t>
      </w:r>
      <w:r>
        <w:rPr>
          <w:rFonts w:hint="eastAsia" w:ascii="楷体" w:hAnsi="楷体" w:eastAsia="楷体"/>
          <w:color w:val="000000" w:themeColor="text1"/>
          <w14:textFill>
            <w14:solidFill>
              <w14:schemeClr w14:val="tx1"/>
            </w14:solidFill>
          </w14:textFill>
        </w:rPr>
        <w:t>，强化企业科技创新主体地位，发挥科技型骨干企业引领支撑作用，营造有利于科技型中小微企业成长的良好环境，推动创新链产业链资金链人才链深度融合。</w:t>
      </w:r>
    </w:p>
    <w:p>
      <w:pPr>
        <w:spacing w:line="288" w:lineRule="auto"/>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从中央到地方都在加大对未来产业的布局。从2024年各地政府工作报告看，过半数省份在部署工作时提出前瞻布局未来产业。</w:t>
      </w: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（4）根据材料，综合运用所学，说明我国新型举国体制的主要特点。（9分）</w:t>
      </w: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①坚持党的领导是新型举国体制的基础体制构成。</w:t>
      </w: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②国家发展和国家安全是新型举国体制</w:t>
      </w:r>
      <w:r>
        <w:rPr>
          <w:rFonts w:hint="eastAsia"/>
          <w:color w:val="000000" w:themeColor="text1"/>
          <w14:textFill>
            <w14:solidFill>
              <w14:schemeClr w14:val="tx1"/>
            </w14:solidFill>
          </w14:textFill>
        </w:rPr>
        <w:t>最</w:t>
      </w:r>
      <w:r>
        <w:rPr>
          <w:rFonts w:hint="eastAsia"/>
          <w:color w:val="000000" w:themeColor="text1"/>
          <w14:textFill>
            <w14:solidFill>
              <w14:schemeClr w14:val="tx1"/>
            </w14:solidFill>
          </w14:textFill>
        </w:rPr>
        <w:t>核心的目标价值所在。</w:t>
      </w: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③在资源配置方式上新型举国体制强调政府作用和市场机制的有机结合。</w:t>
      </w: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④新型举国体制成为国家治理体系的重要组成部分。</w:t>
      </w:r>
    </w:p>
    <w:p>
      <w:pPr>
        <w:spacing w:line="288" w:lineRule="auto"/>
        <w:ind w:firstLine="420" w:firstLineChars="200"/>
        <w:rPr>
          <w:color w:val="000000" w:themeColor="text1"/>
          <w14:textFill>
            <w14:solidFill>
              <w14:schemeClr w14:val="tx1"/>
            </w14:solidFill>
          </w14:textFill>
        </w:rPr>
      </w:pPr>
    </w:p>
    <w:p>
      <w:pPr>
        <w:spacing w:line="288" w:lineRule="auto"/>
        <w:ind w:firstLine="447" w:firstLineChars="213"/>
        <w:rPr>
          <w:rFonts w:ascii="楷体" w:hAnsi="楷体" w:eastAsia="楷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hint="eastAsia" w:ascii="楷体" w:hAnsi="楷体" w:eastAsia="楷体"/>
          <w:color w:val="000000" w:themeColor="text1"/>
          <w14:textFill>
            <w14:solidFill>
              <w14:schemeClr w14:val="tx1"/>
            </w14:solidFill>
          </w14:textFill>
        </w:rPr>
        <w:t>面对新一轮前沿科技发展浪潮，全球各主要经济体都在加强国家顶层科技战略布局和科技战略力量部署。</w:t>
      </w:r>
    </w:p>
    <w:p>
      <w:pPr>
        <w:spacing w:line="288" w:lineRule="auto"/>
        <w:rPr>
          <w:color w:val="000000" w:themeColor="text1"/>
          <w14:textFill>
            <w14:solidFill>
              <w14:schemeClr w14:val="tx1"/>
            </w14:solidFill>
          </w14:textFill>
        </w:rPr>
      </w:pPr>
    </w:p>
    <w:p>
      <w:pPr>
        <w:spacing w:line="288" w:lineRule="auto"/>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（6）结合材料，从经济角度分析我国未来产业发展的机遇和挑战，以及攻克“卡脖子”难题对经济开放发展的助推作用。（10分）</w:t>
      </w:r>
    </w:p>
    <w:p>
      <w:pPr>
        <w:spacing w:line="288" w:lineRule="auto"/>
        <w:rPr>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①机遇：我国的未来产业有非常广阔的国际市场，为未来产业“走出去”提供了可能。</w:t>
      </w:r>
    </w:p>
    <w:p>
      <w:pPr>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挑战：我国的未来产业面临激烈的国际竞争，需要加强风险应对和防范。</w:t>
      </w:r>
    </w:p>
    <w:p>
      <w:pPr>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②我国攻克“卡脖子”难题，有利于调整对外贸易的产品结构，提升国内企业在国际技术标准和相关贸易规则制定中的话语权，增强产品和服务的国际竞争力。</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（其他合理答案亦可得分）</w:t>
      </w:r>
    </w:p>
    <w:p>
      <w:pPr>
        <w:spacing w:line="360" w:lineRule="auto"/>
        <w:rPr>
          <w:color w:val="000000" w:themeColor="text1"/>
          <w14:textFill>
            <w14:solidFill>
              <w14:schemeClr w14:val="tx1"/>
            </w14:solidFill>
          </w14:textFill>
        </w:rPr>
      </w:pPr>
    </w:p>
    <w:p>
      <w:pPr>
        <w:spacing w:line="360" w:lineRule="auto"/>
        <w:rPr>
          <w:color w:val="000000" w:themeColor="text1"/>
          <w14:textFill>
            <w14:solidFill>
              <w14:schemeClr w14:val="tx1"/>
            </w14:solidFill>
          </w14:textFill>
        </w:rPr>
      </w:pP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7.（2024海淀一模17）高质量发展是新时代的硬道理。</w:t>
      </w:r>
    </w:p>
    <w:p>
      <w:pPr>
        <w:ind w:firstLine="420" w:firstLineChars="200"/>
        <w:rPr>
          <w:rFonts w:ascii="楷体" w:hAnsi="楷体" w:eastAsia="楷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材料一</w:t>
      </w:r>
      <w:r>
        <w:rPr>
          <w:rFonts w:hint="eastAsia" w:ascii="楷体" w:hAnsi="楷体" w:eastAsia="楷体"/>
          <w:color w:val="000000" w:themeColor="text1"/>
          <w14:textFill>
            <w14:solidFill>
              <w14:schemeClr w14:val="tx1"/>
            </w14:solidFill>
          </w14:textFill>
        </w:rPr>
        <w:t xml:space="preserve">  哈尔滨的雪花、上海的“繁花”……借助现代交通工具，南北互换式旅游成为触手可及的浪漫，也带动了国内南北多省份“隐藏款土特产”走俏。</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黑龙江抚远市</w:t>
      </w:r>
      <w:r>
        <w:rPr>
          <w:rFonts w:ascii="楷体" w:hAnsi="楷体" w:eastAsia="楷体"/>
          <w:color w:val="000000" w:themeColor="text1"/>
          <w14:textFill>
            <w14:solidFill>
              <w14:schemeClr w14:val="tx1"/>
            </w14:solidFill>
          </w14:textFill>
        </w:rPr>
        <w:t>2014</w:t>
      </w:r>
      <w:r>
        <w:rPr>
          <w:rFonts w:hint="eastAsia" w:ascii="楷体" w:hAnsi="楷体" w:eastAsia="楷体"/>
          <w:color w:val="000000" w:themeColor="text1"/>
          <w14:textFill>
            <w14:solidFill>
              <w14:schemeClr w14:val="tx1"/>
            </w14:solidFill>
          </w14:textFill>
        </w:rPr>
        <w:t>年从北美引进蔓越莓，现拥有全国最大的蔓越莓种植基地，其种植面积超</w:t>
      </w:r>
      <w:r>
        <w:rPr>
          <w:rFonts w:ascii="楷体" w:hAnsi="楷体" w:eastAsia="楷体"/>
          <w:color w:val="000000" w:themeColor="text1"/>
          <w14:textFill>
            <w14:solidFill>
              <w14:schemeClr w14:val="tx1"/>
            </w14:solidFill>
          </w14:textFill>
        </w:rPr>
        <w:t>4200</w:t>
      </w:r>
      <w:r>
        <w:rPr>
          <w:rFonts w:hint="eastAsia" w:ascii="楷体" w:hAnsi="楷体" w:eastAsia="楷体"/>
          <w:color w:val="000000" w:themeColor="text1"/>
          <w14:textFill>
            <w14:solidFill>
              <w14:schemeClr w14:val="tx1"/>
            </w14:solidFill>
          </w14:textFill>
        </w:rPr>
        <w:t>亩，每亩收益至少能达</w:t>
      </w:r>
      <w:r>
        <w:rPr>
          <w:rFonts w:ascii="楷体" w:hAnsi="楷体" w:eastAsia="楷体"/>
          <w:color w:val="000000" w:themeColor="text1"/>
          <w14:textFill>
            <w14:solidFill>
              <w14:schemeClr w14:val="tx1"/>
            </w14:solidFill>
          </w14:textFill>
        </w:rPr>
        <w:t>6</w:t>
      </w:r>
      <w:r>
        <w:rPr>
          <w:rFonts w:hint="eastAsia" w:ascii="楷体" w:hAnsi="楷体" w:eastAsia="楷体"/>
          <w:color w:val="000000" w:themeColor="text1"/>
          <w14:textFill>
            <w14:solidFill>
              <w14:schemeClr w14:val="tx1"/>
            </w14:solidFill>
          </w14:textFill>
        </w:rPr>
        <w:t>万元，相当于过去</w:t>
      </w:r>
      <w:r>
        <w:rPr>
          <w:rFonts w:ascii="楷体" w:hAnsi="楷体" w:eastAsia="楷体"/>
          <w:color w:val="000000" w:themeColor="text1"/>
          <w14:textFill>
            <w14:solidFill>
              <w14:schemeClr w14:val="tx1"/>
            </w14:solidFill>
          </w14:textFill>
        </w:rPr>
        <w:t>50</w:t>
      </w:r>
      <w:r>
        <w:rPr>
          <w:rFonts w:hint="eastAsia" w:ascii="楷体" w:hAnsi="楷体" w:eastAsia="楷体"/>
          <w:color w:val="000000" w:themeColor="text1"/>
          <w14:textFill>
            <w14:solidFill>
              <w14:schemeClr w14:val="tx1"/>
            </w14:solidFill>
          </w14:textFill>
        </w:rPr>
        <w:t>亩水稻或</w:t>
      </w:r>
      <w:r>
        <w:rPr>
          <w:rFonts w:ascii="楷体" w:hAnsi="楷体" w:eastAsia="楷体"/>
          <w:color w:val="000000" w:themeColor="text1"/>
          <w14:textFill>
            <w14:solidFill>
              <w14:schemeClr w14:val="tx1"/>
            </w14:solidFill>
          </w14:textFill>
        </w:rPr>
        <w:t>100</w:t>
      </w:r>
      <w:r>
        <w:rPr>
          <w:rFonts w:hint="eastAsia" w:ascii="楷体" w:hAnsi="楷体" w:eastAsia="楷体"/>
          <w:color w:val="000000" w:themeColor="text1"/>
          <w14:textFill>
            <w14:solidFill>
              <w14:schemeClr w14:val="tx1"/>
            </w14:solidFill>
          </w14:textFill>
        </w:rPr>
        <w:t>亩玉米的收益。</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安徽霍邱县鹅肝以及各种鹅副产品的年产值达近20亿元，占全国鹅肥肝产量三成以上,鹅肝产业发展辐射带动当地近8000人就业，从业人员年收入5-8万元。</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四川雅安市借助优质冷水资源，推动鳏鱼养殖业异军突起，鱼子酱年产量超</w:t>
      </w:r>
      <w:r>
        <w:rPr>
          <w:rFonts w:ascii="楷体" w:hAnsi="楷体" w:eastAsia="楷体"/>
          <w:color w:val="000000" w:themeColor="text1"/>
          <w14:textFill>
            <w14:solidFill>
              <w14:schemeClr w14:val="tx1"/>
            </w14:solidFill>
          </w14:textFill>
        </w:rPr>
        <w:t>50</w:t>
      </w:r>
      <w:r>
        <w:rPr>
          <w:rFonts w:hint="eastAsia" w:ascii="楷体" w:hAnsi="楷体" w:eastAsia="楷体"/>
          <w:color w:val="000000" w:themeColor="text1"/>
          <w14:textFill>
            <w14:solidFill>
              <w14:schemeClr w14:val="tx1"/>
            </w14:solidFill>
          </w14:textFill>
        </w:rPr>
        <w:t>吨，远销</w:t>
      </w:r>
      <w:r>
        <w:rPr>
          <w:rFonts w:ascii="楷体" w:hAnsi="楷体" w:eastAsia="楷体"/>
          <w:color w:val="000000" w:themeColor="text1"/>
          <w14:textFill>
            <w14:solidFill>
              <w14:schemeClr w14:val="tx1"/>
            </w14:solidFill>
          </w14:textFill>
        </w:rPr>
        <w:t>30</w:t>
      </w:r>
      <w:r>
        <w:rPr>
          <w:rFonts w:hint="eastAsia" w:ascii="楷体" w:hAnsi="楷体" w:eastAsia="楷体"/>
          <w:color w:val="000000" w:themeColor="text1"/>
          <w14:textFill>
            <w14:solidFill>
              <w14:schemeClr w14:val="tx1"/>
            </w14:solidFill>
          </w14:textFill>
        </w:rPr>
        <w:t>多个国家和地区。</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这些土特产大多数是根据当地环境条件和资源禀赋引进的，并在农业科技加持下发展起来的，在为相关产业带来发展机遇的同时，不断助力经济高质量发展。</w:t>
      </w:r>
    </w:p>
    <w:p>
      <w:pPr>
        <w:ind w:firstLine="420" w:firstLineChars="200"/>
        <w:rPr>
          <w:rFonts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（1）结合材料一，运用《经济与社会》知识，说明这些“隐藏款土特产”为什么能助力我国经济高质量发展。（7分）</w:t>
      </w:r>
    </w:p>
    <w:p>
      <w:pPr>
        <w:ind w:firstLine="211" w:firstLineChars="100"/>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依靠科技，</w:t>
      </w:r>
      <w:r>
        <w:rPr>
          <w:rFonts w:ascii="宋体" w:hAnsi="宋体" w:eastAsia="宋体"/>
          <w:b/>
          <w:bCs/>
          <w:color w:val="000000" w:themeColor="text1"/>
          <w14:textFill>
            <w14:solidFill>
              <w14:schemeClr w14:val="tx1"/>
            </w14:solidFill>
          </w14:textFill>
        </w:rPr>
        <w:t>因地制宜</w:t>
      </w:r>
      <w:r>
        <w:rPr>
          <w:rFonts w:hint="eastAsia" w:ascii="宋体" w:hAnsi="宋体" w:eastAsia="宋体"/>
          <w:b/>
          <w:bCs/>
          <w:color w:val="000000" w:themeColor="text1"/>
          <w14:textFill>
            <w14:solidFill>
              <w14:schemeClr w14:val="tx1"/>
            </w14:solidFill>
          </w14:textFill>
        </w:rPr>
        <w:t>发展农村“隐藏款土特产”</w:t>
      </w:r>
      <w:r>
        <w:rPr>
          <w:rFonts w:ascii="宋体" w:hAnsi="宋体" w:eastAsia="宋体"/>
          <w:b/>
          <w:bCs/>
          <w:color w:val="000000" w:themeColor="text1"/>
          <w14:textFill>
            <w14:solidFill>
              <w14:schemeClr w14:val="tx1"/>
            </w14:solidFill>
          </w14:textFill>
        </w:rPr>
        <w:t>，</w:t>
      </w:r>
      <w:r>
        <w:rPr>
          <w:rFonts w:hint="eastAsia" w:ascii="宋体" w:hAnsi="宋体" w:eastAsia="宋体"/>
          <w:b/>
          <w:bCs/>
          <w:color w:val="000000" w:themeColor="text1"/>
          <w14:textFill>
            <w14:solidFill>
              <w14:schemeClr w14:val="tx1"/>
            </w14:solidFill>
          </w14:textFill>
        </w:rPr>
        <w:t>促进当地特色产业发展和经济结构优化，推动乡村产业振兴。国内南北多省份“隐藏款土特产”走俏，</w:t>
      </w:r>
      <w:r>
        <w:rPr>
          <w:rFonts w:ascii="宋体" w:hAnsi="宋体" w:eastAsia="宋体"/>
          <w:b/>
          <w:bCs/>
          <w:color w:val="000000" w:themeColor="text1"/>
          <w14:textFill>
            <w14:solidFill>
              <w14:schemeClr w14:val="tx1"/>
            </w14:solidFill>
          </w14:textFill>
        </w:rPr>
        <w:t>满足</w:t>
      </w:r>
      <w:r>
        <w:rPr>
          <w:rFonts w:hint="eastAsia" w:ascii="宋体" w:hAnsi="宋体" w:eastAsia="宋体"/>
          <w:b/>
          <w:bCs/>
          <w:color w:val="000000" w:themeColor="text1"/>
          <w14:textFill>
            <w14:solidFill>
              <w14:schemeClr w14:val="tx1"/>
            </w14:solidFill>
          </w14:textFill>
        </w:rPr>
        <w:t>人民</w:t>
      </w:r>
      <w:r>
        <w:rPr>
          <w:rFonts w:ascii="宋体" w:hAnsi="宋体" w:eastAsia="宋体"/>
          <w:b/>
          <w:bCs/>
          <w:color w:val="000000" w:themeColor="text1"/>
          <w14:textFill>
            <w14:solidFill>
              <w14:schemeClr w14:val="tx1"/>
            </w14:solidFill>
          </w14:textFill>
        </w:rPr>
        <w:t>美好生活需要</w:t>
      </w:r>
      <w:r>
        <w:rPr>
          <w:rFonts w:hint="eastAsia" w:ascii="宋体" w:hAnsi="宋体" w:eastAsia="宋体"/>
          <w:b/>
          <w:bCs/>
          <w:color w:val="000000" w:themeColor="text1"/>
          <w14:textFill>
            <w14:solidFill>
              <w14:schemeClr w14:val="tx1"/>
            </w14:solidFill>
          </w14:textFill>
        </w:rPr>
        <w:t>，促进当地</w:t>
      </w:r>
      <w:r>
        <w:rPr>
          <w:rFonts w:ascii="宋体" w:hAnsi="宋体" w:eastAsia="宋体"/>
          <w:b/>
          <w:bCs/>
          <w:color w:val="000000" w:themeColor="text1"/>
          <w14:textFill>
            <w14:solidFill>
              <w14:schemeClr w14:val="tx1"/>
            </w14:solidFill>
          </w14:textFill>
        </w:rPr>
        <w:t>就业</w:t>
      </w:r>
      <w:r>
        <w:rPr>
          <w:rFonts w:hint="eastAsia" w:ascii="宋体" w:hAnsi="宋体" w:eastAsia="宋体"/>
          <w:b/>
          <w:bCs/>
          <w:color w:val="000000" w:themeColor="text1"/>
          <w14:textFill>
            <w14:solidFill>
              <w14:schemeClr w14:val="tx1"/>
            </w14:solidFill>
          </w14:textFill>
        </w:rPr>
        <w:t>，</w:t>
      </w:r>
      <w:r>
        <w:rPr>
          <w:rFonts w:ascii="宋体" w:hAnsi="宋体" w:eastAsia="宋体"/>
          <w:b/>
          <w:bCs/>
          <w:color w:val="000000" w:themeColor="text1"/>
          <w14:textFill>
            <w14:solidFill>
              <w14:schemeClr w14:val="tx1"/>
            </w14:solidFill>
          </w14:textFill>
        </w:rPr>
        <w:t>增加</w:t>
      </w:r>
      <w:r>
        <w:rPr>
          <w:rFonts w:hint="eastAsia" w:ascii="宋体" w:hAnsi="宋体" w:eastAsia="宋体"/>
          <w:b/>
          <w:bCs/>
          <w:color w:val="000000" w:themeColor="text1"/>
          <w14:textFill>
            <w14:solidFill>
              <w14:schemeClr w14:val="tx1"/>
            </w14:solidFill>
          </w14:textFill>
        </w:rPr>
        <w:t>村民</w:t>
      </w:r>
      <w:r>
        <w:rPr>
          <w:rFonts w:ascii="宋体" w:hAnsi="宋体" w:eastAsia="宋体"/>
          <w:b/>
          <w:bCs/>
          <w:color w:val="000000" w:themeColor="text1"/>
          <w14:textFill>
            <w14:solidFill>
              <w14:schemeClr w14:val="tx1"/>
            </w14:solidFill>
          </w14:textFill>
        </w:rPr>
        <w:t>收入，</w:t>
      </w:r>
      <w:r>
        <w:rPr>
          <w:rFonts w:hint="eastAsia" w:ascii="宋体" w:hAnsi="宋体" w:eastAsia="宋体"/>
          <w:b/>
          <w:bCs/>
          <w:color w:val="000000" w:themeColor="text1"/>
          <w14:textFill>
            <w14:solidFill>
              <w14:schemeClr w14:val="tx1"/>
            </w14:solidFill>
          </w14:textFill>
        </w:rPr>
        <w:t>推动区域协调发展。坚持</w:t>
      </w:r>
      <w:r>
        <w:rPr>
          <w:rFonts w:ascii="宋体" w:hAnsi="宋体" w:eastAsia="宋体"/>
          <w:b/>
          <w:bCs/>
          <w:color w:val="000000" w:themeColor="text1"/>
          <w14:textFill>
            <w14:solidFill>
              <w14:schemeClr w14:val="tx1"/>
            </w14:solidFill>
          </w14:textFill>
        </w:rPr>
        <w:t>扩大内需</w:t>
      </w:r>
      <w:r>
        <w:rPr>
          <w:rFonts w:hint="eastAsia" w:ascii="宋体" w:hAnsi="宋体" w:eastAsia="宋体"/>
          <w:b/>
          <w:bCs/>
          <w:color w:val="000000" w:themeColor="text1"/>
          <w14:textFill>
            <w14:solidFill>
              <w14:schemeClr w14:val="tx1"/>
            </w14:solidFill>
          </w14:textFill>
        </w:rPr>
        <w:t>与深化供给侧结构性改革相结合，推进高水平对外开放</w:t>
      </w:r>
      <w:r>
        <w:rPr>
          <w:rFonts w:ascii="宋体" w:hAnsi="宋体" w:eastAsia="宋体"/>
          <w:b/>
          <w:bCs/>
          <w:color w:val="000000" w:themeColor="text1"/>
          <w14:textFill>
            <w14:solidFill>
              <w14:schemeClr w14:val="tx1"/>
            </w14:solidFill>
          </w14:textFill>
        </w:rPr>
        <w:t>。</w:t>
      </w:r>
    </w:p>
    <w:p>
      <w:pPr>
        <w:rPr>
          <w:rFonts w:ascii="宋体" w:hAnsi="宋体" w:eastAsia="宋体"/>
          <w:color w:val="000000" w:themeColor="text1"/>
          <w14:textFill>
            <w14:solidFill>
              <w14:schemeClr w14:val="tx1"/>
            </w14:solidFill>
          </w14:textFill>
        </w:rPr>
      </w:pPr>
    </w:p>
    <w:p>
      <w:pPr>
        <w:widowControl/>
        <w:jc w:val="left"/>
        <w:rPr>
          <w:rFonts w:ascii="宋体" w:hAnsi="宋体" w:eastAsia="宋体" w:cs="宋体"/>
          <w:color w:val="000000" w:themeColor="text1"/>
          <w:kern w:val="0"/>
          <w:szCs w:val="21"/>
          <w:lang w:bidi="ar"/>
          <w14:textFill>
            <w14:solidFill>
              <w14:schemeClr w14:val="tx1"/>
            </w14:solidFill>
          </w14:textFill>
        </w:rPr>
      </w:pPr>
      <w:r>
        <w:rPr>
          <w:rFonts w:hint="eastAsia" w:ascii="宋体" w:hAnsi="宋体" w:eastAsia="宋体" w:cs="宋体"/>
          <w:color w:val="000000" w:themeColor="text1"/>
          <w:kern w:val="0"/>
          <w:szCs w:val="21"/>
          <w:lang w:bidi="ar"/>
          <w14:textFill>
            <w14:solidFill>
              <w14:schemeClr w14:val="tx1"/>
            </w14:solidFill>
          </w14:textFill>
        </w:rPr>
        <w:t>8.（2024门头沟一模17）以发展新质生产力为重要着力点推进高质量发展。</w:t>
      </w:r>
    </w:p>
    <w:p>
      <w:pPr>
        <w:widowControl/>
        <w:ind w:left="1050" w:leftChars="200" w:hanging="630" w:hangingChars="300"/>
        <w:jc w:val="left"/>
        <w:rPr>
          <w:rFonts w:ascii="楷体" w:hAnsi="楷体" w:eastAsia="楷体" w:cs="楷体"/>
          <w:color w:val="000000" w:themeColor="text1"/>
          <w:kern w:val="0"/>
          <w:szCs w:val="21"/>
          <w:lang w:bidi="ar"/>
          <w14:textFill>
            <w14:solidFill>
              <w14:schemeClr w14:val="tx1"/>
            </w14:solidFill>
          </w14:textFill>
        </w:rPr>
      </w:pPr>
      <w:r>
        <w:rPr>
          <w:rFonts w:hint="eastAsia" w:ascii="黑体" w:hAnsi="黑体" w:eastAsia="黑体" w:cs="黑体"/>
          <w:color w:val="000000" w:themeColor="text1"/>
          <w:kern w:val="0"/>
          <w:szCs w:val="21"/>
          <w:lang w:bidi="ar"/>
          <w14:textFill>
            <w14:solidFill>
              <w14:schemeClr w14:val="tx1"/>
            </w14:solidFill>
          </w14:textFill>
        </w:rPr>
        <w:t>材料一</w:t>
      </w:r>
      <w:r>
        <w:rPr>
          <w:rFonts w:hint="eastAsia" w:ascii="宋体" w:hAnsi="宋体" w:eastAsia="宋体" w:cs="宋体"/>
          <w:color w:val="000000" w:themeColor="text1"/>
          <w:kern w:val="0"/>
          <w:szCs w:val="21"/>
          <w:lang w:bidi="ar"/>
          <w14:textFill>
            <w14:solidFill>
              <w14:schemeClr w14:val="tx1"/>
            </w14:solidFill>
          </w14:textFill>
        </w:rPr>
        <w:t xml:space="preserve">  </w:t>
      </w:r>
      <w:r>
        <w:rPr>
          <w:rFonts w:hint="eastAsia" w:ascii="宋体" w:hAnsi="宋体" w:eastAsia="宋体" w:cs="宋体"/>
          <w:color w:val="000000" w:themeColor="text1"/>
          <w:kern w:val="0"/>
          <w:szCs w:val="21"/>
          <w:lang w:bidi="ar"/>
          <w14:textFill>
            <w14:solidFill>
              <w14:schemeClr w14:val="tx1"/>
            </w14:solidFill>
          </w14:textFill>
        </w:rPr>
        <w:t xml:space="preserve"> </w:t>
      </w:r>
      <w:r>
        <w:rPr>
          <w:rFonts w:hint="eastAsia" w:ascii="楷体" w:hAnsi="楷体" w:eastAsia="楷体" w:cs="楷体"/>
          <w:color w:val="000000" w:themeColor="text1"/>
          <w:kern w:val="0"/>
          <w:szCs w:val="21"/>
          <w:lang w:bidi="ar"/>
          <w14:textFill>
            <w14:solidFill>
              <w14:schemeClr w14:val="tx1"/>
            </w14:solidFill>
          </w14:textFill>
        </w:rPr>
        <w:t>“大力推进现代化产业体系建设，加快发展新质生产力”被国务院列为2024 年十大工作任务之首。</w:t>
      </w:r>
    </w:p>
    <w:p>
      <w:pPr>
        <w:widowControl/>
        <w:ind w:left="1050" w:leftChars="200" w:hanging="630" w:hangingChars="300"/>
        <w:jc w:val="left"/>
        <w:rPr>
          <w:rFonts w:ascii="宋体" w:hAnsi="宋体" w:eastAsia="宋体" w:cs="宋体"/>
          <w:color w:val="000000" w:themeColor="text1"/>
          <w:kern w:val="0"/>
          <w:szCs w:val="21"/>
          <w:lang w:bidi="ar"/>
          <w14:textFill>
            <w14:solidFill>
              <w14:schemeClr w14:val="tx1"/>
            </w14:solidFill>
          </w14:textFill>
        </w:rPr>
      </w:pPr>
    </w:p>
    <w:tbl>
      <w:tblPr>
        <w:tblStyle w:val="6"/>
        <w:tblW w:w="0" w:type="auto"/>
        <w:tblInd w:w="9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3"/>
        <w:gridCol w:w="6592"/>
      </w:tblGrid>
      <w:tr>
        <w:tblPrEx>
          <w:tblLayout w:type="fixed"/>
        </w:tblPrEx>
        <w:trPr>
          <w:trHeight w:val="1205" w:hRule="atLeast"/>
        </w:trPr>
        <w:tc>
          <w:tcPr>
            <w:tcW w:w="863" w:type="dxa"/>
          </w:tcPr>
          <w:p>
            <w:pPr>
              <w:widowControl/>
              <w:spacing w:line="360" w:lineRule="exact"/>
              <w:jc w:val="center"/>
              <w:rPr>
                <w:rFonts w:ascii="楷体" w:hAnsi="楷体" w:eastAsia="楷体" w:cs="楷体"/>
                <w:color w:val="000000" w:themeColor="text1"/>
                <w:kern w:val="0"/>
                <w:sz w:val="20"/>
                <w:szCs w:val="21"/>
                <w:lang w:bidi="ar"/>
                <w14:textFill>
                  <w14:solidFill>
                    <w14:schemeClr w14:val="tx1"/>
                  </w14:solidFill>
                </w14:textFill>
              </w:rPr>
            </w:pPr>
          </w:p>
          <w:p>
            <w:pPr>
              <w:widowControl/>
              <w:spacing w:line="360" w:lineRule="exact"/>
              <w:jc w:val="center"/>
              <w:rPr>
                <w:rFonts w:ascii="宋体" w:hAnsi="宋体" w:eastAsia="宋体" w:cs="宋体"/>
                <w:color w:val="000000" w:themeColor="text1"/>
                <w:kern w:val="0"/>
                <w:sz w:val="20"/>
                <w:szCs w:val="21"/>
                <w:lang w:bidi="ar"/>
                <w14:textFill>
                  <w14:solidFill>
                    <w14:schemeClr w14:val="tx1"/>
                  </w14:solidFill>
                </w14:textFill>
              </w:rPr>
            </w:pPr>
            <w:r>
              <w:rPr>
                <w:rFonts w:hint="eastAsia" w:ascii="楷体" w:hAnsi="楷体" w:eastAsia="楷体" w:cs="楷体"/>
                <w:color w:val="000000" w:themeColor="text1"/>
                <w:kern w:val="0"/>
                <w:sz w:val="21"/>
                <w:szCs w:val="21"/>
                <w:lang w:bidi="ar"/>
                <w14:textFill>
                  <w14:solidFill>
                    <w14:schemeClr w14:val="tx1"/>
                  </w14:solidFill>
                </w14:textFill>
              </w:rPr>
              <w:t>剪影1</w:t>
            </w:r>
          </w:p>
        </w:tc>
        <w:tc>
          <w:tcPr>
            <w:tcW w:w="6592" w:type="dxa"/>
          </w:tcPr>
          <w:p>
            <w:pPr>
              <w:widowControl/>
              <w:spacing w:line="360" w:lineRule="exact"/>
              <w:ind w:firstLine="420" w:firstLineChars="200"/>
              <w:jc w:val="left"/>
              <w:rPr>
                <w:rFonts w:ascii="Times New Roman" w:hAnsi="Times New Roman" w:eastAsia="宋体" w:cs="Times New Roman"/>
                <w:color w:val="000000" w:themeColor="text1"/>
                <w:kern w:val="0"/>
                <w:sz w:val="20"/>
                <w:szCs w:val="20"/>
                <w14:textFill>
                  <w14:solidFill>
                    <w14:schemeClr w14:val="tx1"/>
                  </w14:solidFill>
                </w14:textFill>
              </w:rPr>
            </w:pPr>
            <w:r>
              <w:rPr>
                <w:rFonts w:hint="eastAsia" w:ascii="楷体" w:hAnsi="楷体" w:eastAsia="楷体" w:cs="楷体"/>
                <w:color w:val="000000" w:themeColor="text1"/>
                <w:kern w:val="0"/>
                <w:sz w:val="21"/>
                <w:szCs w:val="21"/>
                <w:lang w:bidi="ar"/>
                <w14:textFill>
                  <w14:solidFill>
                    <w14:schemeClr w14:val="tx1"/>
                  </w14:solidFill>
                </w14:textFill>
              </w:rPr>
              <w:t>无锡市聚焦智能传感器、车联网、工业互联网“一感两网”重点领域，一批原创性、具有市场价值的科研成果，正在催生更多新兴产业、未来产业，物联网蓬勃发展。</w:t>
            </w:r>
          </w:p>
        </w:tc>
      </w:tr>
      <w:tr>
        <w:tblPrEx>
          <w:tblLayout w:type="fixed"/>
        </w:tblPrEx>
        <w:trPr>
          <w:trHeight w:val="1477" w:hRule="atLeast"/>
        </w:trPr>
        <w:tc>
          <w:tcPr>
            <w:tcW w:w="863" w:type="dxa"/>
          </w:tcPr>
          <w:p>
            <w:pPr>
              <w:widowControl/>
              <w:spacing w:line="360" w:lineRule="exact"/>
              <w:jc w:val="center"/>
              <w:rPr>
                <w:rFonts w:ascii="楷体" w:hAnsi="楷体" w:eastAsia="楷体" w:cs="楷体"/>
                <w:color w:val="000000" w:themeColor="text1"/>
                <w:kern w:val="0"/>
                <w:sz w:val="20"/>
                <w:szCs w:val="21"/>
                <w:lang w:bidi="ar"/>
                <w14:textFill>
                  <w14:solidFill>
                    <w14:schemeClr w14:val="tx1"/>
                  </w14:solidFill>
                </w14:textFill>
              </w:rPr>
            </w:pPr>
          </w:p>
          <w:p>
            <w:pPr>
              <w:widowControl/>
              <w:spacing w:line="360" w:lineRule="exact"/>
              <w:jc w:val="center"/>
              <w:rPr>
                <w:rFonts w:ascii="宋体" w:hAnsi="宋体" w:eastAsia="宋体" w:cs="宋体"/>
                <w:color w:val="000000" w:themeColor="text1"/>
                <w:kern w:val="0"/>
                <w:sz w:val="20"/>
                <w:szCs w:val="21"/>
                <w:lang w:bidi="ar"/>
                <w14:textFill>
                  <w14:solidFill>
                    <w14:schemeClr w14:val="tx1"/>
                  </w14:solidFill>
                </w14:textFill>
              </w:rPr>
            </w:pPr>
            <w:r>
              <w:rPr>
                <w:rFonts w:hint="eastAsia" w:ascii="楷体" w:hAnsi="楷体" w:eastAsia="楷体" w:cs="楷体"/>
                <w:color w:val="000000" w:themeColor="text1"/>
                <w:kern w:val="0"/>
                <w:sz w:val="21"/>
                <w:szCs w:val="21"/>
                <w:lang w:bidi="ar"/>
                <w14:textFill>
                  <w14:solidFill>
                    <w14:schemeClr w14:val="tx1"/>
                  </w14:solidFill>
                </w14:textFill>
              </w:rPr>
              <w:t>剪影2</w:t>
            </w:r>
          </w:p>
        </w:tc>
        <w:tc>
          <w:tcPr>
            <w:tcW w:w="6592" w:type="dxa"/>
          </w:tcPr>
          <w:p>
            <w:pPr>
              <w:widowControl/>
              <w:spacing w:line="360" w:lineRule="exact"/>
              <w:ind w:firstLine="400" w:firstLineChars="200"/>
              <w:jc w:val="left"/>
              <w:rPr>
                <w:rFonts w:ascii="宋体" w:hAnsi="宋体" w:eastAsia="宋体" w:cs="宋体"/>
                <w:color w:val="000000" w:themeColor="text1"/>
                <w:kern w:val="0"/>
                <w:sz w:val="20"/>
                <w:szCs w:val="21"/>
                <w:lang w:bidi="ar"/>
                <w14:textFill>
                  <w14:solidFill>
                    <w14:schemeClr w14:val="tx1"/>
                  </w14:solidFill>
                </w14:textFill>
              </w:rPr>
            </w:pPr>
            <w:r>
              <w:rPr>
                <w:rFonts w:hint="eastAsia" w:ascii="楷体" w:hAnsi="楷体" w:eastAsia="楷体" w:cs="楷体"/>
                <w:color w:val="000000" w:themeColor="text1"/>
                <w:kern w:val="0"/>
                <w:sz w:val="20"/>
                <w:szCs w:val="20"/>
                <w14:textFill>
                  <w14:solidFill>
                    <w14:schemeClr w14:val="tx1"/>
                  </w14:solidFill>
                </w14:textFill>
              </w:rPr>
              <w:t>徐州市在完成焦化、热电、化工等行业淘汰落后产能的基础上，注重用新技术改造提升钢铁、纺织、食品及农副产品加工等传统产业，促进产业链价值链迈向中高端。</w:t>
            </w:r>
          </w:p>
        </w:tc>
      </w:tr>
    </w:tbl>
    <w:p>
      <w:pPr>
        <w:widowControl/>
        <w:ind w:left="1050" w:leftChars="200" w:hanging="630" w:hangingChars="300"/>
        <w:jc w:val="left"/>
        <w:rPr>
          <w:rFonts w:ascii="宋体" w:hAnsi="宋体" w:eastAsia="宋体" w:cs="宋体"/>
          <w:color w:val="000000" w:themeColor="text1"/>
          <w:kern w:val="0"/>
          <w:szCs w:val="21"/>
          <w:lang w:bidi="ar"/>
          <w14:textFill>
            <w14:solidFill>
              <w14:schemeClr w14:val="tx1"/>
            </w14:solidFill>
          </w14:textFill>
        </w:rPr>
      </w:pPr>
    </w:p>
    <w:p>
      <w:pPr>
        <w:ind w:left="420" w:leftChars="200"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（1）有人认为，发展新质生产力就要淘汰传统产业，大力发展新兴产业和未来产业。结合材料，运用《经济与社会》知识，对这一观点进行评析。（6分）</w:t>
      </w:r>
    </w:p>
    <w:p>
      <w:pPr>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一方面，必须实施创新驱动战略，发展战略性新兴产业，布局建设未来产业。另一方面，发展新质生产 力不是忽视放弃传统产业，而是要立足自身实际和比较优势，推动传统产业转型升级。总之，要统筹传统 产业和新兴产业的关系，建设创新引领协同发展的产业体系</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p>
    <w:p>
      <w:pPr>
        <w:rPr>
          <w:rFonts w:ascii="楷体" w:hAnsi="楷体" w:eastAsia="楷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9. （2024石景山一模</w:t>
      </w:r>
      <w:r>
        <w:rPr>
          <w:rFonts w:ascii="宋体" w:hAnsi="宋体" w:eastAsia="宋体"/>
          <w:color w:val="000000" w:themeColor="text1"/>
          <w14:textFill>
            <w14:solidFill>
              <w14:schemeClr w14:val="tx1"/>
            </w14:solidFill>
          </w14:textFill>
        </w:rPr>
        <w:t>19</w:t>
      </w:r>
      <w:r>
        <w:rPr>
          <w:rFonts w:hint="eastAsia" w:ascii="宋体" w:hAnsi="宋体" w:eastAsia="宋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 xml:space="preserve">新质生产力不是传统生产力的局部优化和简单迭代，而是先进生产力的具体体现。 加快形成新质生产力，是我国把握新一轮科技革命机遇，全面塑造发展新优势的关键之举。 </w:t>
      </w:r>
    </w:p>
    <w:p>
      <w:pPr>
        <w:ind w:firstLine="420" w:firstLineChars="200"/>
        <w:rPr>
          <w:rFonts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 xml:space="preserve">新质生产力的载体是产业。一方面，我国围绕新一代信息技术、新能源、新材料等 战略性新兴产业和未来产业的前沿领域进行探索；同时广泛应用数智技术、绿色技术为 传统产业赋能，推动传统产业向高端化、绿色化、智能化发展。另一方面，强化战略科 技力量，需要找准关键核心技术和零部件薄弱环节，提升产业链供应链韧性和安全水平。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（1）结合材料，运用《经济与社会》知识，说明如何用新质生产力点燃发展新动能。 </w:t>
      </w:r>
    </w:p>
    <w:p>
      <w:pPr>
        <w:rPr>
          <w:color w:val="000000" w:themeColor="text1"/>
          <w14:textFill>
            <w14:solidFill>
              <w14:schemeClr w14:val="tx1"/>
            </w14:solidFill>
          </w14:textFill>
        </w:rPr>
      </w:pPr>
      <w:r>
        <w:rPr>
          <w:color w:val="000000" w:themeColor="text1"/>
          <w14:textFill>
            <w14:solidFill>
              <w14:schemeClr w14:val="tx1"/>
            </w14:solidFill>
          </w14:textFill>
        </w:rPr>
        <w:t>（8 分）</w:t>
      </w:r>
    </w:p>
    <w:p>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新质生产力是以高新科技创新驱动内涵式发展的社会生产力新形态。通过创新引领，在重要行业和关键领域合理布局，实现新领域新赛道的跨越性发展；整合科技资源，推动传统产业实现发展方式的转变。推动实现高水平科技自立自强，实现产业体系自主可控和安全可靠，用新质生产力点燃发展新动能</w:t>
      </w:r>
      <w:r>
        <w:rPr>
          <w:color w:val="000000" w:themeColor="text1"/>
          <w14:textFill>
            <w14:solidFill>
              <w14:schemeClr w14:val="tx1"/>
            </w14:solidFill>
          </w14:textFill>
        </w:rPr>
        <w:t>。</w:t>
      </w:r>
    </w:p>
    <w:p>
      <w:pPr>
        <w:rPr>
          <w:rFonts w:hint="eastAsia" w:ascii="宋体" w:hAnsi="宋体" w:eastAsia="宋体"/>
          <w:b/>
          <w:bCs/>
          <w:color w:val="000000" w:themeColor="text1"/>
          <w14:textFill>
            <w14:solidFill>
              <w14:schemeClr w14:val="tx1"/>
            </w14:solidFill>
          </w14:textFill>
        </w:rPr>
      </w:pPr>
    </w:p>
    <w:p>
      <w:pPr>
        <w:ind w:firstLine="1897" w:firstLineChars="900"/>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 xml:space="preserve">第四课   </w:t>
      </w:r>
      <w:r>
        <w:rPr>
          <w:rFonts w:ascii="宋体" w:hAnsi="宋体" w:eastAsia="宋体"/>
          <w:b/>
          <w:bCs/>
          <w:color w:val="000000" w:themeColor="text1"/>
          <w14:textFill>
            <w14:solidFill>
              <w14:schemeClr w14:val="tx1"/>
            </w14:solidFill>
          </w14:textFill>
        </w:rPr>
        <w:t>我国的个人收入分配与社会保障</w:t>
      </w:r>
      <w:r>
        <w:rPr>
          <w:rFonts w:ascii="宋体" w:hAnsi="宋体" w:eastAsia="宋体"/>
          <w:b/>
          <w:bCs/>
          <w:color w:val="000000" w:themeColor="text1"/>
          <w14:textFill>
            <w14:solidFill>
              <w14:schemeClr w14:val="tx1"/>
            </w14:solidFill>
          </w14:textFill>
        </w:rPr>
        <w:tab/>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1.（2024东城一模13）</w:t>
      </w:r>
      <w:r>
        <w:rPr>
          <w:rFonts w:ascii="宋体" w:hAnsi="宋体" w:eastAsia="宋体"/>
          <w:color w:val="000000" w:themeColor="text1"/>
          <w14:textFill>
            <w14:solidFill>
              <w14:schemeClr w14:val="tx1"/>
            </w14:solidFill>
          </w14:textFill>
        </w:rPr>
        <w:t>北京市调整最低工资标准,从2023年9月1日起,月最低工资标准上调至2420</w:t>
      </w:r>
      <w:r>
        <w:rPr>
          <w:rFonts w:hint="eastAsia" w:ascii="宋体" w:hAnsi="宋体" w:eastAsia="宋体"/>
          <w:color w:val="000000" w:themeColor="text1"/>
          <w14:textFill>
            <w14:solidFill>
              <w14:schemeClr w14:val="tx1"/>
            </w14:solidFill>
          </w14:textFill>
        </w:rPr>
        <w:t>元</w:t>
      </w:r>
      <w:r>
        <w:rPr>
          <w:rFonts w:ascii="宋体" w:hAnsi="宋体" w:eastAsia="宋体"/>
          <w:color w:val="000000" w:themeColor="text1"/>
          <w14:textFill>
            <w14:solidFill>
              <w14:schemeClr w14:val="tx1"/>
            </w14:solidFill>
          </w14:textFill>
        </w:rPr>
        <w:t>,非全日制从业人员小时最低工资标准确定为26.4元/小时,非全日制从业人员法定节假日小时最低工资标准确定为62元/小时。最低工资标准的调整</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①激发劳动者积极性，增加就业</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②拓宽居民收入来源，缩小收入差距</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③增加用工成本</w:t>
      </w:r>
      <w:r>
        <w:rPr>
          <w:rFonts w:ascii="宋体" w:hAnsi="宋体" w:eastAsia="宋体"/>
          <w:color w:val="000000" w:themeColor="text1"/>
          <w14:textFill>
            <w14:solidFill>
              <w14:schemeClr w14:val="tx1"/>
            </w14:solidFill>
          </w14:textFill>
        </w:rPr>
        <w:t>,推动企业科技创新</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④提高劳动报酬在初次分配中的比重</w:t>
      </w:r>
      <w:r>
        <w:rPr>
          <w:rFonts w:ascii="宋体" w:hAnsi="宋体" w:eastAsia="宋体"/>
          <w:color w:val="000000" w:themeColor="text1"/>
          <w14:textFill>
            <w14:solidFill>
              <w14:schemeClr w14:val="tx1"/>
            </w14:solidFill>
          </w14:textFill>
        </w:rPr>
        <w:t>,保障劳动者权益</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C.②③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2.</w:t>
      </w:r>
      <w:r>
        <w:rPr>
          <w:rFonts w:hint="eastAsia" w:ascii="Times New Roman" w:hAnsi="Times New Roman" w:eastAsia="宋体" w:cs="Times New Roman"/>
          <w:color w:val="000000" w:themeColor="text1"/>
          <w:szCs w:val="21"/>
          <w14:textFill>
            <w14:solidFill>
              <w14:schemeClr w14:val="tx1"/>
            </w14:solidFill>
          </w14:textFill>
          <w14:ligatures w14:val="none"/>
        </w:rPr>
        <w:t>（2024西城一模2）</w:t>
      </w:r>
      <w:r>
        <w:rPr>
          <w:rFonts w:hint="eastAsia" w:ascii="宋体" w:hAnsi="宋体" w:eastAsia="宋体"/>
          <w:color w:val="000000" w:themeColor="text1"/>
          <w14:textFill>
            <w14:solidFill>
              <w14:schemeClr w14:val="tx1"/>
            </w14:solidFill>
          </w14:textFill>
        </w:rPr>
        <w:t xml:space="preserve"> 有这样一种科技小院，在其间参与生产的不仅有农民和农业专家，还有农业专业的研究生。这些学生在完成知识、理论学习的基础上，研究解决农业农村的实际问题。科技小院像是一个连结点，一头连着师生，一头连着田间地头。对此分析正确的是</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①应提倡科研院所、高校服务农业农村，</w:t>
      </w:r>
      <w:r>
        <w:rPr>
          <w:rFonts w:ascii="宋体" w:hAnsi="宋体" w:eastAsia="宋体"/>
          <w:color w:val="000000" w:themeColor="text1"/>
          <w14:textFill>
            <w14:solidFill>
              <w14:schemeClr w14:val="tx1"/>
            </w14:solidFill>
          </w14:textFill>
        </w:rPr>
        <w:t>以产业</w:t>
      </w:r>
      <w:r>
        <w:rPr>
          <w:rFonts w:hint="eastAsia" w:ascii="宋体" w:hAnsi="宋体" w:eastAsia="宋体"/>
          <w:color w:val="000000" w:themeColor="text1"/>
          <w14:textFill>
            <w14:solidFill>
              <w14:schemeClr w14:val="tx1"/>
            </w14:solidFill>
          </w14:textFill>
        </w:rPr>
        <w:t>发展带动农民致富</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②走进乡土中国深处，才能深刻理解怎样实事求是、联系群众</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③科研成果从田间孕育，完成后又回到田间，农业发展的关键在于劳动要素投入</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④构建产学研用深度融合的创新育人体系，要把掌握农业知识作为实践的目的</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w:t>
      </w:r>
      <w:r>
        <w:rPr>
          <w:rFonts w:hint="eastAsia" w:ascii="宋体" w:hAnsi="宋体" w:eastAsia="宋体"/>
          <w:color w:val="000000" w:themeColor="text1"/>
          <w14:textFill>
            <w14:solidFill>
              <w14:schemeClr w14:val="tx1"/>
            </w14:solidFill>
          </w14:textFill>
        </w:rPr>
        <w:t>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w:t>
      </w:r>
      <w:r>
        <w:rPr>
          <w:rFonts w:hint="eastAsia" w:ascii="宋体" w:hAnsi="宋体" w:eastAsia="宋体"/>
          <w:color w:val="000000" w:themeColor="text1"/>
          <w14:textFill>
            <w14:solidFill>
              <w14:schemeClr w14:val="tx1"/>
            </w14:solidFill>
          </w14:textFill>
        </w:rPr>
        <w:t>①③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w:t>
      </w:r>
      <w:r>
        <w:rPr>
          <w:rFonts w:hint="eastAsia" w:ascii="宋体" w:hAnsi="宋体" w:eastAsia="宋体"/>
          <w:color w:val="000000" w:themeColor="text1"/>
          <w14:textFill>
            <w14:solidFill>
              <w14:schemeClr w14:val="tx1"/>
            </w14:solidFill>
          </w14:textFill>
        </w:rPr>
        <w:t>②④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w:t>
      </w:r>
      <w:r>
        <w:rPr>
          <w:rFonts w:hint="eastAsia" w:ascii="宋体" w:hAnsi="宋体" w:eastAsia="宋体"/>
          <w:color w:val="000000" w:themeColor="text1"/>
          <w14:textFill>
            <w14:solidFill>
              <w14:schemeClr w14:val="tx1"/>
            </w14:solidFill>
          </w14:textFill>
        </w:rPr>
        <w:t>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3.（2024海淀一模13）小蘑菇种出“大产业”。某县引进农业农村部主推的食用菌系列专利技术，新建食用菌大棚,带动包棚农户增收致富；通过土地流转让村集体经济和村民收入“双增”，为“弱劳动力”提供公益岗位、临时用工等就业机会，不断拓宽群众增收渠道。该县</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①通过科技助农，促进农业和农村发展</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②实行多元要素参与分配，共享发展红利</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③通过土地流转，实现农村耕地非农化</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④调动包棚农户积极性，增加转移性收入</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B.①③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C.②④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ab/>
      </w:r>
      <w:r>
        <w:rPr>
          <w:rFonts w:hint="eastAsia"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4.（2024丰台一模</w:t>
      </w:r>
      <w:r>
        <w:rPr>
          <w:rFonts w:ascii="宋体" w:hAnsi="宋体" w:eastAsia="宋体"/>
          <w:color w:val="000000" w:themeColor="text1"/>
          <w14:textFill>
            <w14:solidFill>
              <w14:schemeClr w14:val="tx1"/>
            </w14:solidFill>
          </w14:textFill>
        </w:rPr>
        <w:t>13</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手持数字“一卡通”，自由走遍京津冀。数据显示，京津冀区域社保卡持卡人数达1.15 亿,覆盖74%的常住人口。三地参加社保人员，在区域内所有定点医疗机构就医、购药,均视同备案,无须办理异地就医备案手续即可享受医保报销待遇。跨省通用、一卡多用,社保卡贯通着线上线下旅游、文化、政务、就医等民生服务,受到百姓欢迎。京津冀“一卡通”建设</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①加快公共服务数字化转型</w:t>
      </w:r>
      <w:r>
        <w:rPr>
          <w:rFonts w:ascii="宋体" w:hAnsi="宋体" w:eastAsia="宋体"/>
          <w:color w:val="000000" w:themeColor="text1"/>
          <w14:textFill>
            <w14:solidFill>
              <w14:schemeClr w14:val="tx1"/>
            </w14:solidFill>
          </w14:textFill>
        </w:rPr>
        <w:t>,促进民生服务便利共享</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②优化三地资源配置,提高了居民收入初次分配比例</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③打造京津冀同城化服务场景,实现社会保障平均化</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④推动协同发展转化为民生红利,增强人们的获得感</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A.①②</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B.①④</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C.②③</w:t>
      </w:r>
      <w:r>
        <w:rPr>
          <w:rFonts w:ascii="宋体" w:hAnsi="宋体" w:eastAsia="宋体"/>
          <w:color w:val="000000" w:themeColor="text1"/>
          <w14:textFill>
            <w14:solidFill>
              <w14:schemeClr w14:val="tx1"/>
            </w14:solidFill>
          </w14:textFill>
        </w:rPr>
        <w:tab/>
      </w:r>
      <w:r>
        <w:rPr>
          <w:rFonts w:ascii="宋体" w:hAnsi="宋体" w:eastAsia="宋体"/>
          <w:color w:val="000000" w:themeColor="text1"/>
          <w14:textFill>
            <w14:solidFill>
              <w14:schemeClr w14:val="tx1"/>
            </w14:solidFill>
          </w14:textFill>
        </w:rPr>
        <w:t>D.③④</w:t>
      </w:r>
    </w:p>
    <w:p>
      <w:pPr>
        <w:rPr>
          <w:rFonts w:ascii="宋体" w:hAnsi="宋体" w:eastAsia="宋体"/>
          <w:color w:val="000000" w:themeColor="text1"/>
          <w14:textFill>
            <w14:solidFill>
              <w14:schemeClr w14:val="tx1"/>
            </w14:solidFill>
          </w14:textFill>
        </w:rPr>
      </w:pPr>
      <w:bookmarkStart w:id="2" w:name="_Hlk163924134"/>
      <w:r>
        <w:rPr>
          <w:rFonts w:hint="eastAsia" w:ascii="宋体" w:hAnsi="宋体" w:eastAsia="宋体"/>
          <w:color w:val="000000" w:themeColor="text1"/>
          <w14:textFill>
            <w14:solidFill>
              <w14:schemeClr w14:val="tx1"/>
            </w14:solidFill>
          </w14:textFill>
        </w:rPr>
        <w:t>5.（2024房山一模</w:t>
      </w:r>
      <w:r>
        <w:rPr>
          <w:rFonts w:ascii="宋体" w:hAnsi="宋体" w:eastAsia="宋体"/>
          <w:color w:val="000000" w:themeColor="text1"/>
          <w14:textFill>
            <w14:solidFill>
              <w14:schemeClr w14:val="tx1"/>
            </w14:solidFill>
          </w14:textFill>
        </w:rPr>
        <w:t>1</w:t>
      </w:r>
      <w:r>
        <w:rPr>
          <w:rFonts w:hint="eastAsia" w:ascii="宋体" w:hAnsi="宋体" w:eastAsia="宋体"/>
          <w:color w:val="000000" w:themeColor="text1"/>
          <w14:textFill>
            <w14:solidFill>
              <w14:schemeClr w14:val="tx1"/>
            </w14:solidFill>
          </w14:textFill>
        </w:rPr>
        <w:t>）</w:t>
      </w:r>
      <w:bookmarkEnd w:id="2"/>
      <w:r>
        <w:rPr>
          <w:rFonts w:ascii="宋体" w:hAnsi="宋体" w:eastAsia="宋体"/>
          <w:color w:val="000000" w:themeColor="text1"/>
          <w14:textFill>
            <w14:solidFill>
              <w14:schemeClr w14:val="tx1"/>
            </w14:solidFill>
          </w14:textFill>
        </w:rPr>
        <w:t>2023 年以来，某地区聚焦经济重点工作，打好稳经济财政“组合拳”，着力促投资、</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扩消费、减负担、保民生，推动该地经济发展呈现稳步向好的态势。下列做法及传导路径正确的是</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A.完善初次收入分配→提高个税起征点→增加居民可支配收入→增强消费能力 </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B.加大保障性住房投入→充分发挥市场作用→刺激刚性消费需求→推动经济回升向好</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C.央行加大贷款贴息力度→缓解企业融资难、融资贵→激发企业内生动力→提高市</w:t>
      </w:r>
    </w:p>
    <w:p>
      <w:p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场活力</w:t>
      </w:r>
    </w:p>
    <w:p>
      <w:p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D.增加民生领域转移支付→增强财政保障能力→</w:t>
      </w:r>
      <w:r>
        <w:rPr>
          <w:rFonts w:ascii="宋体" w:hAnsi="宋体" w:eastAsia="宋体"/>
          <w:color w:val="000000" w:themeColor="text1"/>
          <w14:textFill>
            <w14:solidFill>
              <w14:schemeClr w14:val="tx1"/>
            </w14:solidFill>
          </w14:textFill>
        </w:rPr>
        <w:t>兜实基本</w:t>
      </w:r>
      <w:r>
        <w:rPr>
          <w:rFonts w:ascii="宋体" w:hAnsi="宋体" w:eastAsia="宋体"/>
          <w:color w:val="000000" w:themeColor="text1"/>
          <w14:textFill>
            <w14:solidFill>
              <w14:schemeClr w14:val="tx1"/>
            </w14:solidFill>
          </w14:textFill>
        </w:rPr>
        <w:t>民生底线→增进人民福祉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altName w:val="DengXian"/>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00000000" w:usb1="00000000" w:usb2="00000016" w:usb3="00000000" w:csb0="00040001" w:csb1="00000000"/>
  </w:font>
  <w:font w:name="等线 Light">
    <w:panose1 w:val="02010600030101010101"/>
    <w:charset w:val="86"/>
    <w:family w:val="auto"/>
    <w:pitch w:val="default"/>
    <w:sig w:usb0="00000000" w:usb1="00000000"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665CAB"/>
    <w:multiLevelType w:val="multilevel"/>
    <w:tmpl w:val="59665C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6BEE5193"/>
    <w:multiLevelType w:val="multilevel"/>
    <w:tmpl w:val="6BEE519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none"/>
    </w:rPr>
  </w:style>
  <w:style w:type="character" w:default="1" w:styleId="4">
    <w:name w:val="Default Paragraph Font"/>
    <w:unhideWhenUsed/>
    <w:uiPriority w:val="1"/>
  </w:style>
  <w:style w:type="table" w:default="1" w:styleId="5">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tabs>
        <w:tab w:val="center" w:pos="4153"/>
        <w:tab w:val="right" w:pos="8306"/>
      </w:tabs>
      <w:snapToGrid w:val="0"/>
      <w:jc w:val="center"/>
    </w:pPr>
    <w:rPr>
      <w:sz w:val="18"/>
      <w:szCs w:val="18"/>
    </w:rPr>
  </w:style>
  <w:style w:type="table" w:styleId="6">
    <w:name w:val="Table Grid"/>
    <w:basedOn w:val="5"/>
    <w:qFormat/>
    <w:uiPriority w:val="0"/>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7">
    <w:name w:val="页眉 字符"/>
    <w:basedOn w:val="4"/>
    <w:link w:val="3"/>
    <w:uiPriority w:val="99"/>
    <w:rPr>
      <w:sz w:val="18"/>
      <w:szCs w:val="18"/>
    </w:rPr>
  </w:style>
  <w:style w:type="character" w:customStyle="1" w:styleId="8">
    <w:name w:val="页脚 字符"/>
    <w:basedOn w:val="4"/>
    <w:link w:val="2"/>
    <w:uiPriority w:val="99"/>
    <w:rPr>
      <w:sz w:val="18"/>
      <w:szCs w:val="18"/>
    </w:rPr>
  </w:style>
  <w:style w:type="paragraph" w:customStyle="1"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2.tiff"/><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60"/>
    <customShpInfo spid="_x0000_s2059"/>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1505</Words>
  <Characters>8585</Characters>
  <Lines>71</Lines>
  <Paragraphs>20</Paragraphs>
  <TotalTime>0</TotalTime>
  <ScaleCrop>false</ScaleCrop>
  <LinksUpToDate>false</LinksUpToDate>
  <CharactersWithSpaces>10070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2024-04-13T08:05:00Z</dcterms:created>
  <dc:creator>云峰 储</dc:creator>
  <cp:lastModifiedBy>iPad</cp:lastModifiedBy>
  <dcterms:modified xsi:type="dcterms:W3CDTF">2024-12-06T16:02:50Z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F40C736E620AAEDD86AF52678FDBC786_31</vt:lpwstr>
  </property>
  <property fmtid="{D5CDD505-2E9C-101B-9397-08002B2CF9AE}" pid="3" name="KSOProductBuildVer">
    <vt:lpwstr>2052-12.19.0</vt:lpwstr>
  </property>
</Properties>
</file>