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C6CFA">
      <w:pPr>
        <w:jc w:val="center"/>
        <w:rPr>
          <w:rFonts w:hint="default"/>
          <w:sz w:val="18"/>
          <w:szCs w:val="21"/>
          <w:lang w:val="en-US"/>
        </w:rPr>
      </w:pPr>
      <w:r>
        <w:rPr>
          <w:rFonts w:hint="eastAsia" w:ascii="黑体" w:hAnsi="黑体" w:eastAsia="黑体" w:cs="黑体"/>
          <w:sz w:val="28"/>
          <w:szCs w:val="28"/>
          <w:lang w:val="en-US" w:eastAsia="zh-CN"/>
        </w:rPr>
        <w:t>顺义区</w:t>
      </w:r>
      <w:r>
        <w:rPr>
          <w:rFonts w:hint="eastAsia" w:ascii="黑体" w:hAnsi="黑体" w:eastAsia="黑体" w:cs="黑体"/>
          <w:sz w:val="28"/>
          <w:szCs w:val="36"/>
          <w:lang w:val="en-US" w:eastAsia="zh-CN"/>
        </w:rPr>
        <w:t>2025年高三统一测试</w:t>
      </w:r>
      <w:r>
        <w:rPr>
          <w:rFonts w:hint="eastAsia" w:ascii="黑体" w:hAnsi="黑体" w:eastAsia="黑体" w:cs="黑体"/>
          <w:sz w:val="28"/>
          <w:szCs w:val="28"/>
          <w:lang w:val="en-US" w:eastAsia="zh-CN"/>
        </w:rPr>
        <w:t>参考答案</w:t>
      </w:r>
      <w:r>
        <w:rPr>
          <w:rFonts w:hint="eastAsia" w:ascii="黑体" w:hAnsi="黑体" w:eastAsia="黑体" w:cs="黑体"/>
          <w:sz w:val="22"/>
          <w:szCs w:val="22"/>
          <w:lang w:val="en-US" w:eastAsia="zh-CN"/>
        </w:rPr>
        <w:t>（2025.3）</w:t>
      </w:r>
    </w:p>
    <w:p w14:paraId="277B0B45">
      <w:pPr>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思想政治</w:t>
      </w:r>
    </w:p>
    <w:p w14:paraId="23EDF690">
      <w:pPr>
        <w:jc w:val="center"/>
        <w:rPr>
          <w:rFonts w:hint="eastAsia" w:ascii="黑体" w:hAnsi="黑体" w:eastAsia="黑体" w:cs="黑体"/>
          <w:sz w:val="28"/>
          <w:szCs w:val="28"/>
        </w:rPr>
      </w:pPr>
      <w:r>
        <w:rPr>
          <w:rFonts w:hint="eastAsia" w:ascii="黑体" w:hAnsi="黑体" w:eastAsia="黑体" w:cs="黑体"/>
          <w:sz w:val="28"/>
          <w:szCs w:val="28"/>
        </w:rPr>
        <w:t>第一部分</w:t>
      </w:r>
    </w:p>
    <w:p w14:paraId="793F7048">
      <w:pPr>
        <w:rPr>
          <w:sz w:val="24"/>
          <w:szCs w:val="32"/>
        </w:rPr>
      </w:pPr>
      <w:r>
        <w:rPr>
          <w:rFonts w:hint="eastAsia" w:ascii="黑体" w:hAnsi="黑体" w:eastAsia="黑体" w:cs="黑体"/>
          <w:sz w:val="24"/>
          <w:szCs w:val="24"/>
        </w:rPr>
        <w:t>本部分共15题，每题3分，共45分。</w:t>
      </w:r>
    </w:p>
    <w:p w14:paraId="41AB9348">
      <w:pPr>
        <w:numPr>
          <w:ilvl w:val="0"/>
          <w:numId w:val="0"/>
        </w:numPr>
        <w:ind w:firstLine="280" w:firstLineChars="100"/>
        <w:jc w:val="distribute"/>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w:t>
      </w:r>
      <w:r>
        <w:rPr>
          <w:rFonts w:hint="eastAsia" w:ascii="Times New Roman" w:hAnsi="Times New Roman" w:cs="Times New Roman"/>
          <w:sz w:val="28"/>
          <w:szCs w:val="28"/>
          <w:lang w:val="en-US" w:eastAsia="zh-CN"/>
        </w:rPr>
        <w:t>A</w:t>
      </w:r>
      <w:r>
        <w:rPr>
          <w:rFonts w:hint="default" w:ascii="Times New Roman" w:hAnsi="Times New Roman" w:eastAsia="宋体" w:cs="Times New Roman"/>
          <w:sz w:val="28"/>
          <w:szCs w:val="28"/>
          <w:lang w:val="en-US" w:eastAsia="zh-CN"/>
        </w:rPr>
        <w:t xml:space="preserve">       2.</w:t>
      </w:r>
      <w:r>
        <w:rPr>
          <w:rFonts w:hint="eastAsia" w:ascii="Times New Roman" w:hAnsi="Times New Roman" w:cs="Times New Roman"/>
          <w:sz w:val="28"/>
          <w:szCs w:val="28"/>
          <w:lang w:val="en-US" w:eastAsia="zh-CN"/>
        </w:rPr>
        <w:t>C</w:t>
      </w:r>
      <w:r>
        <w:rPr>
          <w:rFonts w:hint="default" w:ascii="Times New Roman" w:hAnsi="Times New Roman" w:eastAsia="宋体" w:cs="Times New Roman"/>
          <w:sz w:val="28"/>
          <w:szCs w:val="28"/>
          <w:lang w:val="en-US" w:eastAsia="zh-CN"/>
        </w:rPr>
        <w:t xml:space="preserve">       3.</w:t>
      </w:r>
      <w:r>
        <w:rPr>
          <w:rFonts w:hint="eastAsia" w:ascii="Times New Roman" w:hAnsi="Times New Roman" w:cs="Times New Roman"/>
          <w:sz w:val="28"/>
          <w:szCs w:val="28"/>
          <w:lang w:val="en-US" w:eastAsia="zh-CN"/>
        </w:rPr>
        <w:t>B</w:t>
      </w:r>
      <w:r>
        <w:rPr>
          <w:rFonts w:hint="default" w:ascii="Times New Roman" w:hAnsi="Times New Roman" w:eastAsia="宋体" w:cs="Times New Roman"/>
          <w:sz w:val="28"/>
          <w:szCs w:val="28"/>
          <w:lang w:val="en-US" w:eastAsia="zh-CN"/>
        </w:rPr>
        <w:t xml:space="preserve">       4.D        5.</w:t>
      </w:r>
      <w:r>
        <w:rPr>
          <w:rFonts w:hint="eastAsia" w:ascii="Times New Roman" w:hAnsi="Times New Roman" w:cs="Times New Roman"/>
          <w:sz w:val="28"/>
          <w:szCs w:val="28"/>
          <w:lang w:val="en-US" w:eastAsia="zh-CN"/>
        </w:rPr>
        <w:t>B</w:t>
      </w:r>
    </w:p>
    <w:p w14:paraId="14DDED4A">
      <w:pPr>
        <w:numPr>
          <w:ilvl w:val="0"/>
          <w:numId w:val="0"/>
        </w:numPr>
        <w:ind w:firstLine="280" w:firstLineChars="100"/>
        <w:jc w:val="distribute"/>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6.</w:t>
      </w:r>
      <w:r>
        <w:rPr>
          <w:rFonts w:hint="eastAsia" w:ascii="Times New Roman" w:hAnsi="Times New Roman" w:cs="Times New Roman"/>
          <w:sz w:val="28"/>
          <w:szCs w:val="28"/>
          <w:lang w:val="en-US" w:eastAsia="zh-CN"/>
        </w:rPr>
        <w:t>C</w:t>
      </w:r>
      <w:r>
        <w:rPr>
          <w:rFonts w:hint="default" w:ascii="Times New Roman" w:hAnsi="Times New Roman" w:eastAsia="宋体" w:cs="Times New Roman"/>
          <w:sz w:val="28"/>
          <w:szCs w:val="28"/>
          <w:lang w:val="en-US" w:eastAsia="zh-CN"/>
        </w:rPr>
        <w:t xml:space="preserve">       7.</w:t>
      </w:r>
      <w:r>
        <w:rPr>
          <w:rFonts w:hint="eastAsia" w:ascii="Times New Roman" w:hAnsi="Times New Roman" w:cs="Times New Roman"/>
          <w:sz w:val="28"/>
          <w:szCs w:val="28"/>
          <w:lang w:val="en-US" w:eastAsia="zh-CN"/>
        </w:rPr>
        <w:t>A</w:t>
      </w:r>
      <w:r>
        <w:rPr>
          <w:rFonts w:hint="default" w:ascii="Times New Roman" w:hAnsi="Times New Roman" w:eastAsia="宋体" w:cs="Times New Roman"/>
          <w:sz w:val="28"/>
          <w:szCs w:val="28"/>
          <w:lang w:val="en-US" w:eastAsia="zh-CN"/>
        </w:rPr>
        <w:t xml:space="preserve">       8.</w:t>
      </w:r>
      <w:r>
        <w:rPr>
          <w:rFonts w:hint="eastAsia" w:ascii="Times New Roman" w:hAnsi="Times New Roman" w:cs="Times New Roman"/>
          <w:sz w:val="28"/>
          <w:szCs w:val="28"/>
          <w:lang w:val="en-US" w:eastAsia="zh-CN"/>
        </w:rPr>
        <w:t>C</w:t>
      </w:r>
      <w:r>
        <w:rPr>
          <w:rFonts w:hint="default" w:ascii="Times New Roman" w:hAnsi="Times New Roman" w:eastAsia="宋体" w:cs="Times New Roman"/>
          <w:sz w:val="28"/>
          <w:szCs w:val="28"/>
          <w:lang w:val="en-US" w:eastAsia="zh-CN"/>
        </w:rPr>
        <w:t xml:space="preserve">       9.B       10.</w:t>
      </w:r>
      <w:r>
        <w:rPr>
          <w:rFonts w:hint="eastAsia" w:ascii="Times New Roman" w:hAnsi="Times New Roman" w:cs="Times New Roman"/>
          <w:sz w:val="28"/>
          <w:szCs w:val="28"/>
          <w:lang w:val="en-US" w:eastAsia="zh-CN"/>
        </w:rPr>
        <w:t>A</w:t>
      </w:r>
    </w:p>
    <w:p w14:paraId="662BE1BE">
      <w:pPr>
        <w:numPr>
          <w:ilvl w:val="0"/>
          <w:numId w:val="0"/>
        </w:numPr>
        <w:jc w:val="distribute"/>
        <w:rPr>
          <w:rFonts w:hint="default" w:ascii="Times New Roman" w:hAnsi="Times New Roman" w:eastAsia="宋体" w:cs="Times New Roman"/>
          <w:sz w:val="28"/>
          <w:szCs w:val="28"/>
          <w:lang w:val="en-US" w:eastAsia="zh-CN"/>
        </w:rPr>
      </w:pPr>
      <w:r>
        <w:rPr>
          <w:rFonts w:hint="eastAsia" w:ascii="Times New Roman" w:hAnsi="Times New Roman" w:cs="Times New Roman"/>
          <w:sz w:val="28"/>
          <w:szCs w:val="28"/>
          <w:lang w:val="en-US" w:eastAsia="zh-CN"/>
        </w:rPr>
        <w:t xml:space="preserve"> </w:t>
      </w:r>
      <w:r>
        <w:rPr>
          <w:rFonts w:hint="default" w:ascii="Times New Roman" w:hAnsi="Times New Roman" w:eastAsia="宋体" w:cs="Times New Roman"/>
          <w:sz w:val="28"/>
          <w:szCs w:val="28"/>
          <w:lang w:val="en-US" w:eastAsia="zh-CN"/>
        </w:rPr>
        <w:t>11.</w:t>
      </w:r>
      <w:r>
        <w:rPr>
          <w:rFonts w:hint="eastAsia" w:ascii="Times New Roman" w:hAnsi="Times New Roman" w:eastAsia="宋体" w:cs="Times New Roman"/>
          <w:sz w:val="28"/>
          <w:szCs w:val="28"/>
          <w:lang w:val="en-US" w:eastAsia="zh-CN"/>
        </w:rPr>
        <w:t>D</w:t>
      </w:r>
      <w:r>
        <w:rPr>
          <w:rFonts w:hint="default" w:ascii="Times New Roman" w:hAnsi="Times New Roman" w:eastAsia="宋体" w:cs="Times New Roman"/>
          <w:sz w:val="28"/>
          <w:szCs w:val="28"/>
          <w:lang w:val="en-US" w:eastAsia="zh-CN"/>
        </w:rPr>
        <w:t xml:space="preserve">    </w:t>
      </w:r>
      <w:r>
        <w:rPr>
          <w:rFonts w:hint="eastAsia" w:ascii="Times New Roman" w:hAnsi="Times New Roman" w:cs="Times New Roman"/>
          <w:sz w:val="28"/>
          <w:szCs w:val="28"/>
          <w:lang w:val="en-US" w:eastAsia="zh-CN"/>
        </w:rPr>
        <w:t xml:space="preserve"> </w:t>
      </w:r>
      <w:r>
        <w:rPr>
          <w:rFonts w:hint="default" w:ascii="Times New Roman" w:hAnsi="Times New Roman" w:eastAsia="宋体" w:cs="Times New Roman"/>
          <w:sz w:val="28"/>
          <w:szCs w:val="28"/>
          <w:lang w:val="en-US" w:eastAsia="zh-CN"/>
        </w:rPr>
        <w:t xml:space="preserve"> 12.</w:t>
      </w:r>
      <w:r>
        <w:rPr>
          <w:rFonts w:hint="eastAsia" w:ascii="Times New Roman" w:hAnsi="Times New Roman" w:cs="Times New Roman"/>
          <w:sz w:val="28"/>
          <w:szCs w:val="28"/>
          <w:lang w:val="en-US" w:eastAsia="zh-CN"/>
        </w:rPr>
        <w:t>C</w:t>
      </w:r>
      <w:r>
        <w:rPr>
          <w:rFonts w:hint="default" w:ascii="Times New Roman" w:hAnsi="Times New Roman" w:eastAsia="宋体" w:cs="Times New Roman"/>
          <w:sz w:val="28"/>
          <w:szCs w:val="28"/>
          <w:lang w:val="en-US" w:eastAsia="zh-CN"/>
        </w:rPr>
        <w:t xml:space="preserve">     </w:t>
      </w:r>
      <w:r>
        <w:rPr>
          <w:rFonts w:hint="eastAsia" w:ascii="Times New Roman" w:hAnsi="Times New Roman" w:cs="Times New Roman"/>
          <w:sz w:val="28"/>
          <w:szCs w:val="28"/>
          <w:lang w:val="en-US" w:eastAsia="zh-CN"/>
        </w:rPr>
        <w:t xml:space="preserve"> </w:t>
      </w:r>
      <w:r>
        <w:rPr>
          <w:rFonts w:hint="default" w:ascii="Times New Roman" w:hAnsi="Times New Roman" w:eastAsia="宋体" w:cs="Times New Roman"/>
          <w:sz w:val="28"/>
          <w:szCs w:val="28"/>
          <w:lang w:val="en-US" w:eastAsia="zh-CN"/>
        </w:rPr>
        <w:t>13</w:t>
      </w:r>
      <w:r>
        <w:rPr>
          <w:rFonts w:hint="eastAsia" w:ascii="Times New Roman" w:hAnsi="Times New Roman" w:cs="Times New Roman"/>
          <w:sz w:val="28"/>
          <w:szCs w:val="28"/>
          <w:lang w:val="en-US" w:eastAsia="zh-CN"/>
        </w:rPr>
        <w:t>B</w:t>
      </w:r>
      <w:r>
        <w:rPr>
          <w:rFonts w:hint="default" w:ascii="Times New Roman" w:hAnsi="Times New Roman" w:eastAsia="宋体" w:cs="Times New Roman"/>
          <w:sz w:val="28"/>
          <w:szCs w:val="28"/>
          <w:lang w:val="en-US" w:eastAsia="zh-CN"/>
        </w:rPr>
        <w:t xml:space="preserve">    </w:t>
      </w:r>
      <w:r>
        <w:rPr>
          <w:rFonts w:hint="eastAsia"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8"/>
          <w:szCs w:val="28"/>
          <w:lang w:val="en-US" w:eastAsia="zh-CN"/>
        </w:rPr>
        <w:t>14.</w:t>
      </w:r>
      <w:r>
        <w:rPr>
          <w:rFonts w:hint="eastAsia" w:ascii="Times New Roman" w:hAnsi="Times New Roman" w:cs="Times New Roman"/>
          <w:sz w:val="28"/>
          <w:szCs w:val="28"/>
          <w:lang w:val="en-US" w:eastAsia="zh-CN"/>
        </w:rPr>
        <w:t>D</w:t>
      </w:r>
      <w:r>
        <w:rPr>
          <w:rFonts w:hint="default" w:ascii="Times New Roman" w:hAnsi="Times New Roman" w:eastAsia="宋体" w:cs="Times New Roman"/>
          <w:sz w:val="28"/>
          <w:szCs w:val="28"/>
          <w:lang w:val="en-US" w:eastAsia="zh-CN"/>
        </w:rPr>
        <w:t xml:space="preserve">       15.</w:t>
      </w:r>
      <w:r>
        <w:rPr>
          <w:rFonts w:hint="eastAsia" w:ascii="Times New Roman" w:hAnsi="Times New Roman" w:cs="Times New Roman"/>
          <w:sz w:val="28"/>
          <w:szCs w:val="28"/>
          <w:lang w:val="en-US" w:eastAsia="zh-CN"/>
        </w:rPr>
        <w:t>A</w:t>
      </w:r>
    </w:p>
    <w:p w14:paraId="42B56FC4"/>
    <w:p w14:paraId="100D6A88">
      <w:pPr>
        <w:jc w:val="center"/>
        <w:rPr>
          <w:rFonts w:hint="eastAsia"/>
          <w:sz w:val="24"/>
          <w:szCs w:val="24"/>
          <w:lang w:val="en-US" w:eastAsia="zh-CN"/>
        </w:rPr>
      </w:pPr>
      <w:r>
        <w:rPr>
          <w:rFonts w:hint="eastAsia" w:ascii="黑体" w:hAnsi="黑体" w:eastAsia="黑体" w:cs="黑体"/>
          <w:sz w:val="28"/>
          <w:szCs w:val="28"/>
        </w:rPr>
        <w:t>第二部分</w:t>
      </w:r>
    </w:p>
    <w:p w14:paraId="3CDDE88F">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16.（8分）</w:t>
      </w:r>
    </w:p>
    <w:p w14:paraId="3CEDA73F">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可从联系、发展、矛盾、中华文化与中华文明、文化功能等角度作答。</w:t>
      </w:r>
    </w:p>
    <w:p w14:paraId="0DCD02B0">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bCs/>
          <w:color w:val="FF0000"/>
          <w:sz w:val="21"/>
          <w:szCs w:val="21"/>
          <w:lang w:val="en-US" w:eastAsia="zh-CN"/>
        </w:rPr>
        <w:t>文化角度：</w:t>
      </w:r>
      <w:r>
        <w:rPr>
          <w:rFonts w:hint="eastAsia" w:ascii="宋体" w:hAnsi="宋体" w:eastAsia="宋体" w:cs="宋体"/>
          <w:b w:val="0"/>
          <w:bCs w:val="0"/>
          <w:color w:val="FF0000"/>
          <w:sz w:val="21"/>
          <w:szCs w:val="21"/>
          <w:lang w:val="en-US" w:eastAsia="zh-CN"/>
        </w:rPr>
        <w:t>文化载体、文化功能、中华文化与中华文明、双创</w:t>
      </w:r>
    </w:p>
    <w:p w14:paraId="0E79AFC1">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双创——以文化载体承载中华优秀传统文化——创造性转化、创新性发展（转化为符合时代特点和要求的新内涵和新的呈现形式，如当代价值、</w:t>
      </w:r>
      <w:r>
        <w:rPr>
          <w:rFonts w:hint="eastAsia" w:ascii="宋体" w:hAnsi="宋体" w:eastAsia="宋体" w:cs="宋体"/>
          <w:i w:val="0"/>
          <w:iCs w:val="0"/>
          <w:caps w:val="0"/>
          <w:color w:val="333333"/>
          <w:spacing w:val="0"/>
          <w:sz w:val="21"/>
          <w:szCs w:val="21"/>
          <w:shd w:val="clear" w:fill="FFFFFF"/>
        </w:rPr>
        <w:t>《哪吒2》</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lang w:val="en-US" w:eastAsia="zh-CN"/>
        </w:rPr>
        <w:t>黑悟空、唐宫夜宴等</w:t>
      </w:r>
      <w:r>
        <w:rPr>
          <w:rFonts w:hint="eastAsia" w:ascii="宋体" w:hAnsi="宋体" w:eastAsia="宋体" w:cs="宋体"/>
          <w:sz w:val="21"/>
          <w:szCs w:val="21"/>
          <w:lang w:val="en-US" w:eastAsia="zh-CN"/>
        </w:rPr>
        <w:t>）——满足人民多样化、多层次、多方面的精神文化需求，增强文化自信</w:t>
      </w:r>
    </w:p>
    <w:p w14:paraId="16EE98EB">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val="0"/>
          <w:bCs w:val="0"/>
          <w:color w:val="FF0000"/>
          <w:sz w:val="21"/>
          <w:szCs w:val="21"/>
          <w:lang w:val="en-US" w:eastAsia="zh-CN"/>
        </w:rPr>
        <w:t>哲学角度：规律（文化发展规律）、联系（文化与科技融合）、发展（发展的普遍性、质量变）、矛盾（对立统一、普特关系）、价值观等</w:t>
      </w:r>
    </w:p>
    <w:p w14:paraId="5694FEB2">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联系——文化与科技融合——借助3D建模、动态水墨等技术手段——展现中华文化与中华文明</w:t>
      </w:r>
    </w:p>
    <w:p w14:paraId="4A15F4CC">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发展——发展的普遍性——人类社会和人的认识都是不断发展的——“古老的”的优秀传统文化借助科技焕发新的生机与活力</w:t>
      </w:r>
    </w:p>
    <w:p w14:paraId="1B3479F8">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矛盾——具体问题具体分析——“古老的”中华优秀传统文化，各具特色——满足人民多样化、多层次、多方面的精神文化需求——重获“新生”</w:t>
      </w:r>
    </w:p>
    <w:p w14:paraId="34AC574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0" w:firstLineChars="0"/>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val="0"/>
          <w:bCs w:val="0"/>
          <w:color w:val="FF0000"/>
          <w:sz w:val="21"/>
          <w:szCs w:val="21"/>
          <w:lang w:val="en-US" w:eastAsia="zh-CN"/>
        </w:rPr>
        <w:t>具体采分点为：</w:t>
      </w:r>
    </w:p>
    <w:p w14:paraId="2988D143">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7-8：围绕“中国优秀传统文化的新的表达方式”，从</w:t>
      </w:r>
      <w:r>
        <w:rPr>
          <w:rFonts w:hint="eastAsia" w:ascii="宋体" w:hAnsi="宋体" w:eastAsia="宋体" w:cs="宋体"/>
          <w:b/>
          <w:bCs/>
          <w:color w:val="FF0000"/>
          <w:sz w:val="21"/>
          <w:szCs w:val="21"/>
          <w:lang w:val="en-US" w:eastAsia="zh-CN"/>
        </w:rPr>
        <w:t>“如何做”（论述的重点）</w:t>
      </w:r>
      <w:r>
        <w:rPr>
          <w:rFonts w:hint="eastAsia" w:ascii="宋体" w:hAnsi="宋体" w:eastAsia="宋体" w:cs="宋体"/>
          <w:sz w:val="21"/>
          <w:szCs w:val="21"/>
          <w:lang w:val="en-US" w:eastAsia="zh-CN"/>
        </w:rPr>
        <w:t>的角度，用哲学与文化综合的方法，准确论述，逻辑清晰，观点鲜明，表达准确。（</w:t>
      </w:r>
      <w:r>
        <w:rPr>
          <w:rFonts w:hint="eastAsia" w:ascii="宋体" w:hAnsi="宋体" w:eastAsia="宋体" w:cs="宋体"/>
          <w:b/>
          <w:bCs/>
          <w:color w:val="FF0000"/>
          <w:sz w:val="21"/>
          <w:szCs w:val="21"/>
          <w:lang w:val="en-US" w:eastAsia="zh-CN"/>
        </w:rPr>
        <w:t>哲学+材料+文化或文化+材料+哲学</w:t>
      </w:r>
      <w:r>
        <w:rPr>
          <w:rFonts w:hint="eastAsia" w:ascii="宋体" w:hAnsi="宋体" w:eastAsia="宋体" w:cs="宋体"/>
          <w:sz w:val="21"/>
          <w:szCs w:val="21"/>
          <w:lang w:val="en-US" w:eastAsia="zh-CN"/>
        </w:rPr>
        <w:t>，至少3个知识点）</w:t>
      </w:r>
    </w:p>
    <w:p w14:paraId="42827947">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5-6：围绕“中国优秀传统文化的新的表达方式”，从</w:t>
      </w:r>
      <w:r>
        <w:rPr>
          <w:rFonts w:hint="eastAsia" w:ascii="宋体" w:hAnsi="宋体" w:eastAsia="宋体" w:cs="宋体"/>
          <w:b/>
          <w:bCs/>
          <w:color w:val="FF0000"/>
          <w:sz w:val="21"/>
          <w:szCs w:val="21"/>
          <w:lang w:val="en-US" w:eastAsia="zh-CN"/>
        </w:rPr>
        <w:t>“如何做”</w:t>
      </w:r>
      <w:r>
        <w:rPr>
          <w:rFonts w:hint="eastAsia" w:ascii="宋体" w:hAnsi="宋体" w:eastAsia="宋体" w:cs="宋体"/>
          <w:sz w:val="21"/>
          <w:szCs w:val="21"/>
          <w:lang w:val="en-US" w:eastAsia="zh-CN"/>
        </w:rPr>
        <w:t>的角度，用哲学或文化中的相关知识，应用准确，观点有条理。（</w:t>
      </w:r>
      <w:r>
        <w:rPr>
          <w:rFonts w:hint="eastAsia" w:ascii="宋体" w:hAnsi="宋体" w:eastAsia="宋体" w:cs="宋体"/>
          <w:b/>
          <w:bCs/>
          <w:color w:val="FF0000"/>
          <w:sz w:val="21"/>
          <w:szCs w:val="21"/>
          <w:lang w:val="en-US" w:eastAsia="zh-CN"/>
        </w:rPr>
        <w:t>哲学+材料或文化+材料</w:t>
      </w:r>
      <w:r>
        <w:rPr>
          <w:rFonts w:hint="eastAsia" w:ascii="宋体" w:hAnsi="宋体" w:eastAsia="宋体" w:cs="宋体"/>
          <w:sz w:val="21"/>
          <w:szCs w:val="21"/>
          <w:lang w:val="en-US" w:eastAsia="zh-CN"/>
        </w:rPr>
        <w:t>，2个知识点）</w:t>
      </w:r>
    </w:p>
    <w:p w14:paraId="14A64DD2">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3-4：单列哲学或文化中的知识，不能扣题，缺乏逻辑。</w:t>
      </w:r>
    </w:p>
    <w:p w14:paraId="28689347">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1-2：观点不明确，应答没有条理。</w:t>
      </w:r>
    </w:p>
    <w:p w14:paraId="3BE56F6E">
      <w:pPr>
        <w:keepNext w:val="0"/>
        <w:keepLines w:val="0"/>
        <w:pageBreakBefore w:val="0"/>
        <w:widowControl w:val="0"/>
        <w:kinsoku/>
        <w:wordWrap/>
        <w:overflowPunct/>
        <w:topLinePunct w:val="0"/>
        <w:autoSpaceDE/>
        <w:autoSpaceDN/>
        <w:bidi w:val="0"/>
        <w:adjustRightInd/>
        <w:snapToGrid/>
        <w:spacing w:line="300" w:lineRule="auto"/>
        <w:ind w:left="0" w:firstLine="0" w:firstLineChars="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0：原封不动抄材料，或虽有顺序调整，有个别词语变化，但内容本质上也是对材料的抄写</w:t>
      </w:r>
    </w:p>
    <w:p w14:paraId="390729CD">
      <w:pPr>
        <w:numPr>
          <w:ilvl w:val="0"/>
          <w:numId w:val="2"/>
        </w:numPr>
        <w:spacing w:line="360" w:lineRule="auto"/>
        <w:ind w:left="420" w:leftChars="0" w:hanging="420" w:firstLineChars="0"/>
        <w:rPr>
          <w:rFonts w:hint="eastAsia" w:ascii="宋体" w:hAnsi="宋体" w:cs="宋体"/>
          <w:b/>
          <w:bCs/>
          <w:color w:val="FF0000"/>
          <w:sz w:val="24"/>
          <w:szCs w:val="24"/>
          <w:highlight w:val="yellow"/>
          <w:lang w:val="en-US" w:eastAsia="zh-CN"/>
        </w:rPr>
      </w:pPr>
      <w:r>
        <w:rPr>
          <w:rFonts w:hint="eastAsia" w:ascii="宋体" w:hAnsi="宋体" w:cs="宋体"/>
          <w:b/>
          <w:bCs/>
          <w:color w:val="FF0000"/>
          <w:sz w:val="24"/>
          <w:szCs w:val="24"/>
          <w:highlight w:val="yellow"/>
          <w:lang w:val="en-US" w:eastAsia="zh-CN"/>
        </w:rPr>
        <w:t>优秀试卷</w:t>
      </w:r>
    </w:p>
    <w:p w14:paraId="6A78A129">
      <w:pPr>
        <w:spacing w:line="360" w:lineRule="auto"/>
        <w:rPr>
          <w:rFonts w:hint="eastAsia" w:ascii="宋体" w:hAnsi="宋体" w:cs="宋体"/>
          <w:sz w:val="24"/>
          <w:szCs w:val="24"/>
          <w:lang w:val="en-US" w:eastAsia="zh-CN"/>
        </w:rPr>
      </w:pPr>
      <w:r>
        <w:rPr>
          <w:rFonts w:hint="eastAsia" w:ascii="宋体" w:hAnsi="宋体" w:cs="宋体"/>
          <w:color w:val="FF0000"/>
          <w:sz w:val="24"/>
          <w:szCs w:val="24"/>
          <w:lang w:val="en-US" w:eastAsia="zh-CN"/>
        </w:rPr>
        <w:drawing>
          <wp:inline distT="0" distB="0" distL="114300" distR="114300">
            <wp:extent cx="2516505" cy="1508760"/>
            <wp:effectExtent l="0" t="0" r="10795" b="2540"/>
            <wp:docPr id="1" name="图片 1" descr="优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优秀"/>
                    <pic:cNvPicPr>
                      <a:picLocks noChangeAspect="1"/>
                    </pic:cNvPicPr>
                  </pic:nvPicPr>
                  <pic:blipFill>
                    <a:blip r:embed="rId5"/>
                    <a:srcRect t="3609" b="3366"/>
                    <a:stretch>
                      <a:fillRect/>
                    </a:stretch>
                  </pic:blipFill>
                  <pic:spPr>
                    <a:xfrm>
                      <a:off x="0" y="0"/>
                      <a:ext cx="2516505" cy="1508760"/>
                    </a:xfrm>
                    <a:prstGeom prst="rect">
                      <a:avLst/>
                    </a:prstGeom>
                  </pic:spPr>
                </pic:pic>
              </a:graphicData>
            </a:graphic>
          </wp:inline>
        </w:drawing>
      </w:r>
      <w:r>
        <w:rPr>
          <w:rFonts w:hint="eastAsia" w:ascii="宋体" w:hAnsi="宋体" w:cs="宋体"/>
          <w:color w:val="FF0000"/>
          <w:sz w:val="24"/>
          <w:szCs w:val="24"/>
          <w:lang w:val="en-US" w:eastAsia="zh-CN"/>
        </w:rPr>
        <w:drawing>
          <wp:inline distT="0" distB="0" distL="114300" distR="114300">
            <wp:extent cx="2536825" cy="1614170"/>
            <wp:effectExtent l="0" t="0" r="3175" b="11430"/>
            <wp:docPr id="2" name="图片 2" descr="16题优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题优秀1"/>
                    <pic:cNvPicPr>
                      <a:picLocks noChangeAspect="1"/>
                    </pic:cNvPicPr>
                  </pic:nvPicPr>
                  <pic:blipFill>
                    <a:blip r:embed="rId6"/>
                    <a:stretch>
                      <a:fillRect/>
                    </a:stretch>
                  </pic:blipFill>
                  <pic:spPr>
                    <a:xfrm>
                      <a:off x="0" y="0"/>
                      <a:ext cx="2536825" cy="1614170"/>
                    </a:xfrm>
                    <a:prstGeom prst="rect">
                      <a:avLst/>
                    </a:prstGeom>
                  </pic:spPr>
                </pic:pic>
              </a:graphicData>
            </a:graphic>
          </wp:inline>
        </w:drawing>
      </w:r>
    </w:p>
    <w:p w14:paraId="71E582A0">
      <w:pPr>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17（1）</w:t>
      </w:r>
    </w:p>
    <w:p w14:paraId="26818A40">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lang w:val="en-US" w:eastAsia="zh-CN"/>
        </w:rPr>
        <w:t>答案：</w:t>
      </w:r>
      <w:r>
        <w:rPr>
          <w:rFonts w:hint="eastAsia" w:ascii="宋体" w:hAnsi="宋体" w:eastAsia="宋体" w:cs="宋体"/>
          <w:sz w:val="21"/>
          <w:szCs w:val="21"/>
          <w:lang w:val="en-US" w:eastAsia="zh-CN"/>
        </w:rPr>
        <w:t>条件：杭州既获得科创基金的支持又成为科创人才高地。理由：甲是充分条件假言判断，如果有前一种情况就必有后一种情况；乙是必要条件假言判断，如果没有前一种情况就一定没有后一种情况。由甲乙均为真实回答，可知杭州既获得科创基金的支持，又是科创人才高地。丙是相容选言判断，一个相容选言判断是真的，要求它的选言支中至少有一个是真的，也可以都是真的。因此，当杭州既获得科创基金支持又成为科创人才高地的时候，丙的判断也为真。 因此，上述判断为真的条件是杭州是由于杭州既获得科创基金的支持又成为科创人才的高地。</w:t>
      </w:r>
    </w:p>
    <w:p w14:paraId="08869791">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lang w:val="en-US" w:eastAsia="zh-CN"/>
        </w:rPr>
        <w:t>评分细则：</w:t>
      </w:r>
      <w:r>
        <w:rPr>
          <w:rFonts w:hint="eastAsia" w:ascii="宋体" w:hAnsi="宋体" w:eastAsia="宋体" w:cs="宋体"/>
          <w:sz w:val="21"/>
          <w:szCs w:val="21"/>
          <w:lang w:val="en-US" w:eastAsia="zh-CN"/>
        </w:rPr>
        <w:t>评分细则：1.条件：1分（既┄┄又┄┄）2.理由：3分（1+2</w:t>
      </w:r>
    </w:p>
    <w:p w14:paraId="6818E0CC">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lang w:val="en-US" w:eastAsia="zh-CN"/>
        </w:rPr>
        <w:t>具体采分点：</w:t>
      </w:r>
      <w:r>
        <w:rPr>
          <w:rFonts w:hint="eastAsia" w:ascii="宋体" w:hAnsi="宋体" w:eastAsia="宋体" w:cs="宋体"/>
          <w:sz w:val="21"/>
          <w:szCs w:val="21"/>
          <w:lang w:val="en-US" w:eastAsia="zh-CN"/>
        </w:rPr>
        <w:t>（1）能够准确并全部写对三位同学判断类型，给1分（如：甲—充分条件假言判断，乙—必要条件假言判断，丙—相容选言判断）（2）三个判断类型中，有一个具体分析准确，即可得2分</w:t>
      </w:r>
    </w:p>
    <w:p w14:paraId="7D0FAC57">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b/>
          <w:bCs/>
          <w:sz w:val="21"/>
          <w:szCs w:val="21"/>
          <w:highlight w:val="yellow"/>
          <w:lang w:val="en-US" w:eastAsia="zh-CN"/>
        </w:rPr>
      </w:pPr>
      <w:r>
        <w:rPr>
          <w:rFonts w:hint="eastAsia" w:ascii="宋体" w:hAnsi="宋体" w:eastAsia="宋体" w:cs="宋体"/>
          <w:b/>
          <w:bCs/>
          <w:sz w:val="21"/>
          <w:szCs w:val="21"/>
          <w:highlight w:val="yellow"/>
          <w:lang w:val="en-US" w:eastAsia="zh-CN"/>
        </w:rPr>
        <w:t>优秀试卷</w:t>
      </w:r>
    </w:p>
    <w:p w14:paraId="717ECE87">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5872480" cy="169799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extLst>
                        <a:ext uri="{28A0092B-C50C-407E-A947-70E740481C1C}">
                          <a14:useLocalDpi xmlns:a14="http://schemas.microsoft.com/office/drawing/2010/main" val="0"/>
                        </a:ext>
                      </a:extLst>
                    </a:blip>
                    <a:srcRect t="11290" b="52600"/>
                    <a:stretch>
                      <a:fillRect/>
                    </a:stretch>
                  </pic:blipFill>
                  <pic:spPr>
                    <a:xfrm>
                      <a:off x="0" y="0"/>
                      <a:ext cx="5872480" cy="1697990"/>
                    </a:xfrm>
                    <a:prstGeom prst="rect">
                      <a:avLst/>
                    </a:prstGeom>
                  </pic:spPr>
                </pic:pic>
              </a:graphicData>
            </a:graphic>
          </wp:inline>
        </w:drawing>
      </w:r>
    </w:p>
    <w:p w14:paraId="2CFD6120">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lang w:val="en-US" w:eastAsia="zh-CN"/>
        </w:rPr>
        <w:t>存在问题：</w:t>
      </w:r>
      <w:r>
        <w:rPr>
          <w:rFonts w:hint="eastAsia" w:ascii="宋体" w:hAnsi="宋体" w:eastAsia="宋体" w:cs="宋体"/>
          <w:sz w:val="21"/>
          <w:szCs w:val="21"/>
          <w:lang w:val="en-US" w:eastAsia="zh-CN"/>
        </w:rPr>
        <w:t>1.没读懂设问：缺少条件，只分析三个观点；2.推导错误：只写出了一部分条件；3.基础知识不扎实：判断类型错误。</w:t>
      </w:r>
    </w:p>
    <w:p w14:paraId="7E87AF2F">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17（2）</w:t>
      </w:r>
    </w:p>
    <w:p w14:paraId="74021C8E">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rPr>
      </w:pPr>
      <w:r>
        <w:rPr>
          <w:rFonts w:hint="eastAsia" w:ascii="宋体" w:hAnsi="宋体" w:eastAsia="宋体" w:cs="宋体"/>
          <w:b/>
          <w:bCs/>
          <w:sz w:val="21"/>
          <w:szCs w:val="21"/>
          <w:highlight w:val="yellow"/>
          <w:lang w:val="en-US" w:eastAsia="zh-CN"/>
        </w:rPr>
        <w:t>答案：</w:t>
      </w:r>
      <w:r>
        <w:rPr>
          <w:rFonts w:hint="eastAsia" w:ascii="宋体" w:hAnsi="宋体" w:eastAsia="宋体" w:cs="宋体"/>
          <w:sz w:val="21"/>
          <w:szCs w:val="21"/>
        </w:rPr>
        <w:t>构建优质高效的企业政策</w:t>
      </w:r>
      <w:r>
        <w:rPr>
          <w:rFonts w:hint="eastAsia" w:ascii="宋体" w:hAnsi="宋体" w:eastAsia="宋体" w:cs="宋体"/>
          <w:color w:val="FF0000"/>
          <w:sz w:val="21"/>
          <w:szCs w:val="21"/>
        </w:rPr>
        <w:t>服务体系</w:t>
      </w:r>
      <w:r>
        <w:rPr>
          <w:rFonts w:hint="eastAsia" w:ascii="宋体" w:hAnsi="宋体" w:eastAsia="宋体" w:cs="宋体"/>
          <w:sz w:val="21"/>
          <w:szCs w:val="21"/>
        </w:rPr>
        <w:t>，健全企业成长要素保障，让更多中小企业成为高质量发展的生力军。政府要简政放权，利用数字化手段赋能宏观调控、市场监管等基本职能，规范市场秩序，创新工作方式，为企业减负，增强企业和群众的获得感。</w:t>
      </w:r>
    </w:p>
    <w:p w14:paraId="39A02816">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b/>
          <w:bCs/>
          <w:sz w:val="21"/>
          <w:szCs w:val="21"/>
          <w:highlight w:val="yellow"/>
        </w:rPr>
      </w:pPr>
      <w:r>
        <w:rPr>
          <w:rFonts w:hint="eastAsia" w:ascii="宋体" w:hAnsi="宋体" w:eastAsia="宋体" w:cs="宋体"/>
          <w:b/>
          <w:bCs/>
          <w:sz w:val="21"/>
          <w:szCs w:val="21"/>
          <w:highlight w:val="yellow"/>
        </w:rPr>
        <w:t>评分细则：</w:t>
      </w:r>
    </w:p>
    <w:p w14:paraId="D24666E1">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rPr>
      </w:pPr>
      <w:r>
        <w:rPr>
          <w:rFonts w:hint="eastAsia" w:ascii="宋体" w:hAnsi="宋体" w:eastAsia="宋体" w:cs="宋体"/>
          <w:sz w:val="21"/>
          <w:szCs w:val="21"/>
          <w:lang w:val="en-US"/>
        </w:rPr>
        <w:t>可以从多个主体进行作答。6分共两个角度,每个角度知识2分，具体做法1分。但是两个角度中至少有一个角度是从政府这个主</w:t>
      </w:r>
      <w:r>
        <w:rPr>
          <w:rFonts w:hint="eastAsia" w:ascii="宋体" w:hAnsi="宋体" w:eastAsia="宋体" w:cs="宋体"/>
          <w:sz w:val="21"/>
          <w:szCs w:val="21"/>
          <w:lang w:val="en-US" w:eastAsia="zh-CN"/>
        </w:rPr>
        <w:t>体</w:t>
      </w:r>
      <w:r>
        <w:rPr>
          <w:rFonts w:hint="eastAsia" w:ascii="宋体" w:hAnsi="宋体" w:eastAsia="宋体" w:cs="宋体"/>
          <w:sz w:val="21"/>
          <w:szCs w:val="21"/>
          <w:lang w:val="en-US"/>
        </w:rPr>
        <w:t>来作答的，也可以两个角度都是以政府这个主体。</w:t>
      </w:r>
    </w:p>
    <w:p w14:paraId="0792D0A5">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lang w:val="en-US"/>
        </w:rPr>
        <w:t>政府主体（主要从政府的职能:公共服务，市场监管，宏观调控）</w:t>
      </w:r>
    </w:p>
    <w:p w14:paraId="37E54CF9">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1建设</w:t>
      </w:r>
      <w:r>
        <w:rPr>
          <w:rFonts w:hint="eastAsia" w:ascii="宋体" w:hAnsi="宋体" w:eastAsia="宋体" w:cs="宋体"/>
          <w:b/>
          <w:bCs/>
          <w:sz w:val="21"/>
          <w:szCs w:val="21"/>
        </w:rPr>
        <w:t>服务</w:t>
      </w:r>
      <w:r>
        <w:rPr>
          <w:rFonts w:hint="eastAsia" w:ascii="宋体" w:hAnsi="宋体" w:eastAsia="宋体" w:cs="宋体"/>
          <w:sz w:val="21"/>
          <w:szCs w:val="21"/>
        </w:rPr>
        <w:t>型政府，政府履行</w:t>
      </w:r>
      <w:r>
        <w:rPr>
          <w:rFonts w:hint="eastAsia" w:ascii="宋体" w:hAnsi="宋体" w:eastAsia="宋体" w:cs="宋体"/>
          <w:b/>
          <w:bCs/>
          <w:sz w:val="21"/>
          <w:szCs w:val="21"/>
        </w:rPr>
        <w:t>公共服务职能</w:t>
      </w:r>
      <w:r>
        <w:rPr>
          <w:rFonts w:hint="eastAsia" w:ascii="宋体" w:hAnsi="宋体" w:eastAsia="宋体" w:cs="宋体"/>
          <w:sz w:val="21"/>
          <w:szCs w:val="21"/>
        </w:rPr>
        <w:t>，做到有求必应，为专精特新中小企业发展壮大提供优质服务。</w:t>
      </w:r>
    </w:p>
    <w:p w14:paraId="241D1248">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2.建设</w:t>
      </w:r>
      <w:r>
        <w:rPr>
          <w:rFonts w:hint="eastAsia" w:ascii="宋体" w:hAnsi="宋体" w:eastAsia="宋体" w:cs="宋体"/>
          <w:b/>
          <w:bCs/>
          <w:sz w:val="21"/>
          <w:szCs w:val="21"/>
        </w:rPr>
        <w:t>职能科学、权责法定</w:t>
      </w:r>
      <w:r>
        <w:rPr>
          <w:rFonts w:hint="eastAsia" w:ascii="宋体" w:hAnsi="宋体" w:eastAsia="宋体" w:cs="宋体"/>
          <w:sz w:val="21"/>
          <w:szCs w:val="21"/>
        </w:rPr>
        <w:t>的政府，对待专精特新中小企业做到无事不扰。</w:t>
      </w:r>
    </w:p>
    <w:p w14:paraId="14B5E644">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3.政府履行</w:t>
      </w:r>
      <w:r>
        <w:rPr>
          <w:rFonts w:hint="eastAsia" w:ascii="宋体" w:hAnsi="宋体" w:eastAsia="宋体" w:cs="宋体"/>
          <w:b/>
          <w:bCs/>
          <w:sz w:val="21"/>
          <w:szCs w:val="21"/>
        </w:rPr>
        <w:t>宏观调控职能</w:t>
      </w:r>
      <w:r>
        <w:rPr>
          <w:rFonts w:hint="eastAsia" w:ascii="宋体" w:hAnsi="宋体" w:eastAsia="宋体" w:cs="宋体"/>
          <w:sz w:val="21"/>
          <w:szCs w:val="21"/>
        </w:rPr>
        <w:t>，</w:t>
      </w:r>
      <w:r>
        <w:rPr>
          <w:rFonts w:hint="eastAsia" w:ascii="宋体" w:hAnsi="宋体" w:eastAsia="宋体" w:cs="宋体"/>
          <w:sz w:val="21"/>
          <w:szCs w:val="21"/>
          <w:shd w:val="clear" w:color="auto" w:fill="FFFFFF"/>
        </w:rPr>
        <w:t>扩大中小企业发展专项资金支持，</w:t>
      </w:r>
      <w:r>
        <w:rPr>
          <w:rFonts w:hint="eastAsia" w:ascii="宋体" w:hAnsi="宋体" w:eastAsia="宋体" w:cs="宋体"/>
          <w:sz w:val="21"/>
          <w:szCs w:val="21"/>
        </w:rPr>
        <w:t>促进专精特新中小企业发展。</w:t>
      </w:r>
    </w:p>
    <w:p w14:paraId="7498DDAD">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 xml:space="preserve">4. </w:t>
      </w:r>
      <w:r>
        <w:rPr>
          <w:rFonts w:hint="eastAsia" w:ascii="宋体" w:hAnsi="宋体" w:eastAsia="宋体" w:cs="宋体"/>
          <w:b/>
          <w:bCs/>
          <w:sz w:val="21"/>
          <w:szCs w:val="21"/>
        </w:rPr>
        <w:t>政府创新工作方式</w:t>
      </w:r>
      <w:r>
        <w:rPr>
          <w:rFonts w:hint="eastAsia" w:ascii="宋体" w:hAnsi="宋体" w:eastAsia="宋体" w:cs="宋体"/>
          <w:sz w:val="21"/>
          <w:szCs w:val="21"/>
        </w:rPr>
        <w:t>，梯度培育创新型企业，通过“揭榜挂帅”机制，促进大企业与专精特新中小企业合作，推动专精特新中小企业融入产业链供应链。</w:t>
      </w:r>
    </w:p>
    <w:p w14:paraId="2A58EC44">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rPr>
      </w:pPr>
      <w:r>
        <w:rPr>
          <w:rFonts w:hint="eastAsia" w:ascii="宋体" w:hAnsi="宋体" w:eastAsia="宋体" w:cs="宋体"/>
          <w:sz w:val="21"/>
          <w:szCs w:val="21"/>
          <w:lang w:val="en-US"/>
        </w:rPr>
        <w:t>其他主体:党，人大，依法治国的主体均可，但都要扣到促进专精特新中小企业发展这个话题上就可以。</w:t>
      </w:r>
    </w:p>
    <w:p w14:paraId="746BE0CE">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b/>
          <w:bCs/>
          <w:sz w:val="21"/>
          <w:szCs w:val="21"/>
          <w:highlight w:val="yellow"/>
        </w:rPr>
      </w:pPr>
      <w:r>
        <w:rPr>
          <w:rFonts w:hint="eastAsia" w:ascii="宋体" w:hAnsi="宋体" w:eastAsia="宋体" w:cs="宋体"/>
          <w:b/>
          <w:bCs/>
          <w:sz w:val="21"/>
          <w:szCs w:val="21"/>
          <w:highlight w:val="yellow"/>
          <w:lang w:val="en-US" w:eastAsia="zh-CN"/>
        </w:rPr>
        <w:t>优秀卷</w:t>
      </w:r>
    </w:p>
    <w:p w14:paraId="48A35F33">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2378710" cy="1404620"/>
            <wp:effectExtent l="0" t="0" r="8890" b="5080"/>
            <wp:docPr id="3" name="图片 3" descr="174312256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3122565017"/>
                    <pic:cNvPicPr>
                      <a:picLocks noChangeAspect="1"/>
                    </pic:cNvPicPr>
                  </pic:nvPicPr>
                  <pic:blipFill>
                    <a:blip r:embed="rId8"/>
                    <a:srcRect b="32876"/>
                    <a:stretch>
                      <a:fillRect/>
                    </a:stretch>
                  </pic:blipFill>
                  <pic:spPr>
                    <a:xfrm>
                      <a:off x="0" y="0"/>
                      <a:ext cx="2378710" cy="1404620"/>
                    </a:xfrm>
                    <a:prstGeom prst="rect">
                      <a:avLst/>
                    </a:prstGeom>
                  </pic:spPr>
                </pic:pic>
              </a:graphicData>
            </a:graphic>
          </wp:inline>
        </w:drawing>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eastAsia="zh-CN"/>
        </w:rPr>
        <w:drawing>
          <wp:inline distT="0" distB="0" distL="114300" distR="114300">
            <wp:extent cx="2261870" cy="1177290"/>
            <wp:effectExtent l="0" t="0" r="11430" b="3810"/>
            <wp:docPr id="5" name="图片 5" descr="17431240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3124018314"/>
                    <pic:cNvPicPr>
                      <a:picLocks noChangeAspect="1"/>
                    </pic:cNvPicPr>
                  </pic:nvPicPr>
                  <pic:blipFill>
                    <a:blip r:embed="rId9"/>
                    <a:srcRect l="5415" r="3329" b="55804"/>
                    <a:stretch>
                      <a:fillRect/>
                    </a:stretch>
                  </pic:blipFill>
                  <pic:spPr>
                    <a:xfrm>
                      <a:off x="0" y="0"/>
                      <a:ext cx="2261870" cy="1177290"/>
                    </a:xfrm>
                    <a:prstGeom prst="rect">
                      <a:avLst/>
                    </a:prstGeom>
                  </pic:spPr>
                </pic:pic>
              </a:graphicData>
            </a:graphic>
          </wp:inline>
        </w:drawing>
      </w:r>
    </w:p>
    <w:p w14:paraId="2060A207">
      <w:pPr>
        <w:keepNext w:val="0"/>
        <w:keepLines w:val="0"/>
        <w:pageBreakBefore w:val="0"/>
        <w:numPr>
          <w:ilvl w:val="0"/>
          <w:numId w:val="3"/>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lang w:val="en-US" w:eastAsia="zh-CN"/>
        </w:rPr>
        <w:t>存在问题：</w:t>
      </w:r>
      <w:r>
        <w:rPr>
          <w:rFonts w:hint="eastAsia" w:ascii="宋体" w:hAnsi="宋体" w:eastAsia="宋体" w:cs="宋体"/>
          <w:sz w:val="21"/>
          <w:szCs w:val="21"/>
          <w:lang w:val="en-US"/>
        </w:rPr>
        <w:t>答经济角度的较多</w:t>
      </w:r>
      <w:r>
        <w:rPr>
          <w:rFonts w:hint="eastAsia" w:ascii="宋体" w:hAnsi="宋体" w:eastAsia="宋体" w:cs="宋体"/>
          <w:sz w:val="21"/>
          <w:szCs w:val="21"/>
          <w:lang w:val="en-US" w:eastAsia="zh-CN"/>
        </w:rPr>
        <w:t>；</w:t>
      </w:r>
      <w:r>
        <w:rPr>
          <w:rFonts w:hint="eastAsia" w:ascii="宋体" w:hAnsi="宋体" w:eastAsia="宋体" w:cs="宋体"/>
          <w:sz w:val="21"/>
          <w:szCs w:val="21"/>
          <w:lang w:val="en-US"/>
        </w:rPr>
        <w:t>没有主</w:t>
      </w:r>
      <w:r>
        <w:rPr>
          <w:rFonts w:hint="eastAsia" w:ascii="宋体" w:hAnsi="宋体" w:eastAsia="宋体" w:cs="宋体"/>
          <w:sz w:val="21"/>
          <w:szCs w:val="21"/>
          <w:lang w:val="en-US" w:eastAsia="zh-CN"/>
        </w:rPr>
        <w:t>体</w:t>
      </w:r>
      <w:r>
        <w:rPr>
          <w:rFonts w:hint="eastAsia" w:ascii="宋体" w:hAnsi="宋体" w:eastAsia="宋体" w:cs="宋体"/>
          <w:sz w:val="21"/>
          <w:szCs w:val="21"/>
          <w:lang w:val="en-US"/>
        </w:rPr>
        <w:t>，直接说做法</w:t>
      </w:r>
      <w:r>
        <w:rPr>
          <w:rFonts w:hint="eastAsia" w:ascii="宋体" w:hAnsi="宋体" w:eastAsia="宋体" w:cs="宋体"/>
          <w:sz w:val="21"/>
          <w:szCs w:val="21"/>
          <w:lang w:val="en-US" w:eastAsia="zh-CN"/>
        </w:rPr>
        <w:t>；</w:t>
      </w:r>
      <w:r>
        <w:rPr>
          <w:rFonts w:hint="eastAsia" w:ascii="宋体" w:hAnsi="宋体" w:eastAsia="宋体" w:cs="宋体"/>
          <w:sz w:val="21"/>
          <w:szCs w:val="21"/>
          <w:lang w:val="en-US"/>
        </w:rPr>
        <w:t>两个毫不动摇答的较多，特别是毫不动摇鼓励支持引导非公经济发展</w:t>
      </w:r>
      <w:r>
        <w:rPr>
          <w:rFonts w:hint="eastAsia" w:ascii="宋体" w:hAnsi="宋体" w:eastAsia="宋体" w:cs="宋体"/>
          <w:sz w:val="21"/>
          <w:szCs w:val="21"/>
          <w:lang w:val="en-US" w:eastAsia="zh-CN"/>
        </w:rPr>
        <w:t>；</w:t>
      </w:r>
      <w:r>
        <w:rPr>
          <w:rFonts w:hint="eastAsia" w:ascii="宋体" w:hAnsi="宋体" w:eastAsia="宋体" w:cs="宋体"/>
          <w:sz w:val="21"/>
          <w:szCs w:val="21"/>
          <w:lang w:val="en-US"/>
        </w:rPr>
        <w:t>只有具体做法，无知识。</w:t>
      </w:r>
    </w:p>
    <w:p w14:paraId="5C1B90A1">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18.评分细则：（总3分）：因地制宜发展新质生产力是根据资源禀赋、产业基础、科研条件等，有选择地推动新产业、新模式、新动能发展（替代：新发展理念，创新、绿色发展理念，创新驱动发展战略，落脚点新质生产力发展，建设现代化产业体系）</w:t>
      </w:r>
    </w:p>
    <w:p w14:paraId="4F8D1D63">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传统产业的角度2分）传统产业是现代化产业体系的基底，借助大数据、云计算、人工智能等新技术和新设备，促进传统产业转型升级（替代：数字产业化，数字经济赋能传统产业或实体经济发展，提高劳动生产率）；</w:t>
      </w:r>
    </w:p>
    <w:p w14:paraId="0E7147B2">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新兴产业角度2分）近年来，我国新兴产业加快发展，新动能不断集聚，深入推进战略性新兴产业融合集群发展，培育壮大新兴产业；（替代：科技助力战略性新兴产业发展，发展规模不断壮大，形成规模效益，促进供给侧结构性改革，产业结构优化升级）</w:t>
      </w:r>
    </w:p>
    <w:p w14:paraId="5067C346">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（未来产业角度1分）科技创新，是发力未来产业、加快形成新质生产力的源动力，科技创新和产业创新的深度融合，布局未来产业。（替代：自主创新能力，自主知识产权，关键核心技术自主可控）</w:t>
      </w:r>
    </w:p>
    <w:p w14:paraId="68002597">
      <w:pPr>
        <w:keepNext w:val="0"/>
        <w:keepLines w:val="0"/>
        <w:pageBreakBefore w:val="0"/>
        <w:numPr>
          <w:ilvl w:val="0"/>
          <w:numId w:val="4"/>
        </w:numPr>
        <w:kinsoku/>
        <w:wordWrap/>
        <w:overflowPunct/>
        <w:topLinePunct w:val="0"/>
        <w:autoSpaceDE/>
        <w:autoSpaceDN/>
        <w:bidi w:val="0"/>
        <w:adjustRightInd/>
        <w:snapToGrid/>
        <w:spacing w:line="300" w:lineRule="auto"/>
        <w:ind w:left="0" w:leftChars="0"/>
        <w:jc w:val="both"/>
        <w:rPr>
          <w:rFonts w:hint="eastAsia" w:ascii="宋体" w:hAnsi="宋体" w:eastAsia="宋体" w:cs="宋体"/>
          <w:b/>
          <w:bCs/>
          <w:sz w:val="21"/>
          <w:szCs w:val="21"/>
          <w:highlight w:val="yellow"/>
          <w:lang w:val="en-US" w:eastAsia="zh-CN"/>
        </w:rPr>
      </w:pPr>
      <w:r>
        <w:rPr>
          <w:rFonts w:hint="eastAsia" w:ascii="宋体" w:hAnsi="宋体" w:eastAsia="宋体" w:cs="宋体"/>
          <w:b/>
          <w:bCs/>
          <w:sz w:val="21"/>
          <w:szCs w:val="21"/>
          <w:highlight w:val="yellow"/>
          <w:lang w:val="en-US" w:eastAsia="zh-CN"/>
        </w:rPr>
        <w:t>（1）评分细则：</w:t>
      </w:r>
    </w:p>
    <w:p w14:paraId="10A1B5A4">
      <w:pPr>
        <w:keepNext w:val="0"/>
        <w:keepLines w:val="0"/>
        <w:pageBreakBefore w:val="0"/>
        <w:numPr>
          <w:ilvl w:val="0"/>
          <w:numId w:val="5"/>
        </w:numPr>
        <w:kinsoku/>
        <w:wordWrap/>
        <w:overflowPunct/>
        <w:topLinePunct w:val="0"/>
        <w:autoSpaceDE/>
        <w:autoSpaceDN/>
        <w:bidi w:val="0"/>
        <w:adjustRightInd/>
        <w:snapToGrid/>
        <w:spacing w:line="300" w:lineRule="auto"/>
        <w:ind w:left="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案例1：</w:t>
      </w:r>
      <w:r>
        <w:rPr>
          <w:rFonts w:hint="eastAsia" w:ascii="宋体" w:hAnsi="宋体" w:eastAsia="宋体" w:cs="宋体"/>
          <w:b/>
          <w:bCs/>
          <w:color w:val="FF0000"/>
          <w:sz w:val="21"/>
          <w:szCs w:val="21"/>
          <w:lang w:val="en-US" w:eastAsia="zh-CN"/>
        </w:rPr>
        <w:t>（解决纠纷方式）</w:t>
      </w:r>
      <w:r>
        <w:rPr>
          <w:rFonts w:hint="eastAsia" w:ascii="宋体" w:hAnsi="宋体" w:eastAsia="宋体" w:cs="宋体"/>
          <w:sz w:val="21"/>
          <w:szCs w:val="21"/>
          <w:lang w:val="en-US" w:eastAsia="zh-CN"/>
        </w:rPr>
        <w:t>法院坚持诉讼调解实现邻里和谐、实质化解纠纷。（1分）</w:t>
      </w:r>
      <w:r>
        <w:rPr>
          <w:rFonts w:hint="eastAsia" w:ascii="宋体" w:hAnsi="宋体" w:eastAsia="宋体" w:cs="宋体"/>
          <w:b/>
          <w:bCs/>
          <w:color w:val="FF0000"/>
          <w:sz w:val="21"/>
          <w:szCs w:val="21"/>
          <w:lang w:val="en-US" w:eastAsia="zh-CN"/>
        </w:rPr>
        <w:t>（理由）</w:t>
      </w:r>
      <w:r>
        <w:rPr>
          <w:rFonts w:hint="eastAsia" w:ascii="宋体" w:hAnsi="宋体" w:eastAsia="宋体" w:cs="宋体"/>
          <w:sz w:val="21"/>
          <w:szCs w:val="21"/>
          <w:lang w:val="en-US" w:eastAsia="zh-CN"/>
        </w:rPr>
        <w:t>根据通道为公共通行的通道，属于</w:t>
      </w:r>
      <w:bookmarkStart w:id="2" w:name="_GoBack"/>
      <w:bookmarkEnd w:id="2"/>
      <w:r>
        <w:rPr>
          <w:rFonts w:hint="eastAsia" w:ascii="宋体" w:hAnsi="宋体" w:eastAsia="宋体" w:cs="宋体"/>
          <w:sz w:val="21"/>
          <w:szCs w:val="21"/>
          <w:lang w:val="en-US" w:eastAsia="zh-CN"/>
        </w:rPr>
        <w:t>建筑物的共有部分，应当在合理限度内恰当使用；刘某为自家方便堆放垃圾和杂物，不仅影响邻居通行，存在重大安全隐患，而且违反了民法典关于相邻权的规定，亦有违邻里之间和谐相处的文化传统。（1分）</w:t>
      </w:r>
      <w:r>
        <w:rPr>
          <w:rFonts w:hint="eastAsia" w:ascii="宋体" w:hAnsi="宋体" w:eastAsia="宋体" w:cs="宋体"/>
          <w:b/>
          <w:bCs/>
          <w:color w:val="FF0000"/>
          <w:sz w:val="21"/>
          <w:szCs w:val="21"/>
          <w:lang w:val="en-US" w:eastAsia="zh-CN"/>
        </w:rPr>
        <w:t>（要求）</w:t>
      </w:r>
      <w:r>
        <w:rPr>
          <w:rFonts w:hint="eastAsia" w:ascii="宋体" w:hAnsi="宋体" w:eastAsia="宋体" w:cs="宋体"/>
          <w:sz w:val="21"/>
          <w:szCs w:val="21"/>
          <w:lang w:val="en-US" w:eastAsia="zh-CN"/>
        </w:rPr>
        <w:t>不动产的相邻各方要按照有利于生产、方便生活、团结互助、公平合理的原则，正确处理通风、采光、通行等相邻关系，给相邻方造成妨碍的，应当主动排除妨碍。（1分。替换：正确处理相邻关系、遵守民法典的相关原则）</w:t>
      </w:r>
    </w:p>
    <w:p w14:paraId="6058AD55">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b/>
          <w:bCs/>
          <w:sz w:val="21"/>
          <w:szCs w:val="21"/>
          <w:highlight w:val="yellow"/>
          <w:lang w:val="en-US" w:eastAsia="zh-CN"/>
        </w:rPr>
      </w:pPr>
      <w:r>
        <w:rPr>
          <w:rFonts w:hint="eastAsia" w:ascii="宋体" w:hAnsi="宋体" w:eastAsia="宋体" w:cs="宋体"/>
          <w:b/>
          <w:bCs/>
          <w:sz w:val="21"/>
          <w:szCs w:val="21"/>
          <w:highlight w:val="yellow"/>
          <w:lang w:val="en-US" w:eastAsia="zh-CN"/>
        </w:rPr>
        <w:t>存在问题：</w:t>
      </w:r>
    </w:p>
    <w:p w14:paraId="47BAE956">
      <w:pPr>
        <w:keepNext w:val="0"/>
        <w:keepLines w:val="0"/>
        <w:pageBreakBefore w:val="0"/>
        <w:numPr>
          <w:ilvl w:val="0"/>
          <w:numId w:val="0"/>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2333625" cy="1590675"/>
            <wp:effectExtent l="0" t="0" r="3175" b="952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rcRect b="7985"/>
                    <a:stretch>
                      <a:fillRect/>
                    </a:stretch>
                  </pic:blipFill>
                  <pic:spPr>
                    <a:xfrm>
                      <a:off x="0" y="0"/>
                      <a:ext cx="2333625" cy="1590675"/>
                    </a:xfrm>
                    <a:prstGeom prst="rect">
                      <a:avLst/>
                    </a:prstGeom>
                    <a:noFill/>
                    <a:ln>
                      <a:noFill/>
                    </a:ln>
                  </pic:spPr>
                </pic:pic>
              </a:graphicData>
            </a:graphic>
          </wp:inline>
        </w:drawing>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drawing>
          <wp:inline distT="0" distB="0" distL="114300" distR="114300">
            <wp:extent cx="2414905" cy="1644650"/>
            <wp:effectExtent l="0" t="0" r="10795"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rcRect t="3383" b="7857"/>
                    <a:stretch>
                      <a:fillRect/>
                    </a:stretch>
                  </pic:blipFill>
                  <pic:spPr>
                    <a:xfrm>
                      <a:off x="0" y="0"/>
                      <a:ext cx="2414905" cy="1644650"/>
                    </a:xfrm>
                    <a:prstGeom prst="rect">
                      <a:avLst/>
                    </a:prstGeom>
                    <a:noFill/>
                    <a:ln>
                      <a:noFill/>
                    </a:ln>
                  </pic:spPr>
                </pic:pic>
              </a:graphicData>
            </a:graphic>
          </wp:inline>
        </w:drawing>
      </w:r>
    </w:p>
    <w:p w14:paraId="0AFB085C">
      <w:pPr>
        <w:keepNext w:val="0"/>
        <w:keepLines w:val="0"/>
        <w:pageBreakBefore w:val="0"/>
        <w:numPr>
          <w:ilvl w:val="0"/>
          <w:numId w:val="0"/>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3309620" cy="1759585"/>
            <wp:effectExtent l="0" t="0" r="5080"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rcRect t="3490" r="3372" b="5181"/>
                    <a:stretch>
                      <a:fillRect/>
                    </a:stretch>
                  </pic:blipFill>
                  <pic:spPr>
                    <a:xfrm>
                      <a:off x="0" y="0"/>
                      <a:ext cx="3309620" cy="1759585"/>
                    </a:xfrm>
                    <a:prstGeom prst="rect">
                      <a:avLst/>
                    </a:prstGeom>
                    <a:noFill/>
                    <a:ln>
                      <a:noFill/>
                    </a:ln>
                  </pic:spPr>
                </pic:pic>
              </a:graphicData>
            </a:graphic>
          </wp:inline>
        </w:drawing>
      </w:r>
    </w:p>
    <w:p w14:paraId="0DCC3452">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sz w:val="21"/>
          <w:szCs w:val="21"/>
          <w:lang w:val="en-US" w:eastAsia="zh-CN"/>
        </w:rPr>
      </w:pPr>
      <w:r>
        <w:rPr>
          <w:rFonts w:hint="eastAsia" w:ascii="宋体" w:hAnsi="宋体" w:eastAsia="宋体" w:cs="宋体"/>
          <w:b/>
          <w:bCs/>
          <w:sz w:val="21"/>
          <w:szCs w:val="21"/>
          <w:highlight w:val="yellow"/>
          <w:lang w:val="en-US" w:eastAsia="zh-CN"/>
        </w:rPr>
        <w:t>案例2：</w:t>
      </w:r>
      <w:r>
        <w:rPr>
          <w:rFonts w:hint="eastAsia" w:ascii="宋体" w:hAnsi="宋体" w:eastAsia="宋体" w:cs="宋体"/>
          <w:color w:val="FF0000"/>
          <w:sz w:val="21"/>
          <w:szCs w:val="21"/>
          <w:lang w:val="en-US" w:eastAsia="zh-CN"/>
        </w:rPr>
        <w:t>（事实分析）</w:t>
      </w:r>
      <w:r>
        <w:rPr>
          <w:rFonts w:hint="eastAsia" w:ascii="宋体" w:hAnsi="宋体" w:eastAsia="宋体" w:cs="宋体"/>
          <w:sz w:val="21"/>
          <w:szCs w:val="21"/>
          <w:lang w:val="en-US" w:eastAsia="zh-CN"/>
        </w:rPr>
        <w:t>甲公司对字号使用在先，该字号在中国市场已经具有较高知名度和显著性。而乙公司擅自将该字号登记为企业名称使用，主观故意他人已经建立的商业信誉，造成公众混淆，损害甲公司的商业信誉，影响后者品牌形象和市场份额，同时对消费者构成欺诈，损害社会公共利益，（1分）属于不正当竞争。（1分。替换：“搭便车”、违反公平原则）</w:t>
      </w:r>
      <w:r>
        <w:rPr>
          <w:rFonts w:hint="eastAsia" w:ascii="宋体" w:hAnsi="宋体" w:eastAsia="宋体" w:cs="宋体"/>
          <w:color w:val="FF0000"/>
          <w:sz w:val="21"/>
          <w:szCs w:val="21"/>
          <w:lang w:val="en-US" w:eastAsia="zh-CN"/>
        </w:rPr>
        <w:t>（解决纠纷方式）</w:t>
      </w:r>
      <w:r>
        <w:rPr>
          <w:rFonts w:hint="eastAsia" w:ascii="宋体" w:hAnsi="宋体" w:eastAsia="宋体" w:cs="宋体"/>
          <w:sz w:val="21"/>
          <w:szCs w:val="21"/>
          <w:lang w:val="en-US" w:eastAsia="zh-CN"/>
        </w:rPr>
        <w:t>市监局作出的裁决的证据确实充分，适用法律法规正确，遂判决驳回该公司诉讼请求。（1分）</w:t>
      </w:r>
    </w:p>
    <w:p w14:paraId="5589D829">
      <w:pPr>
        <w:keepNext w:val="0"/>
        <w:keepLines w:val="0"/>
        <w:pageBreakBefore w:val="0"/>
        <w:numPr>
          <w:ilvl w:val="0"/>
          <w:numId w:val="0"/>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2512695" cy="1597025"/>
            <wp:effectExtent l="0" t="0" r="1905" b="317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rcRect l="4986" r="3155" b="9356"/>
                    <a:stretch>
                      <a:fillRect/>
                    </a:stretch>
                  </pic:blipFill>
                  <pic:spPr>
                    <a:xfrm>
                      <a:off x="0" y="0"/>
                      <a:ext cx="2512695" cy="1597025"/>
                    </a:xfrm>
                    <a:prstGeom prst="rect">
                      <a:avLst/>
                    </a:prstGeom>
                    <a:noFill/>
                    <a:ln>
                      <a:noFill/>
                    </a:ln>
                  </pic:spPr>
                </pic:pic>
              </a:graphicData>
            </a:graphic>
          </wp:inline>
        </w:drawing>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drawing>
          <wp:inline distT="0" distB="0" distL="114300" distR="114300">
            <wp:extent cx="2669540" cy="1630680"/>
            <wp:effectExtent l="0" t="0" r="10160" b="762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1"/>
                    <a:srcRect l="1686" t="3661" r="2192" b="8414"/>
                    <a:stretch>
                      <a:fillRect/>
                    </a:stretch>
                  </pic:blipFill>
                  <pic:spPr>
                    <a:xfrm>
                      <a:off x="0" y="0"/>
                      <a:ext cx="2669540" cy="1630680"/>
                    </a:xfrm>
                    <a:prstGeom prst="rect">
                      <a:avLst/>
                    </a:prstGeom>
                    <a:noFill/>
                    <a:ln>
                      <a:noFill/>
                    </a:ln>
                  </pic:spPr>
                </pic:pic>
              </a:graphicData>
            </a:graphic>
          </wp:inline>
        </w:drawing>
      </w:r>
    </w:p>
    <w:p w14:paraId="7538B9F6">
      <w:pPr>
        <w:keepNext w:val="0"/>
        <w:keepLines w:val="0"/>
        <w:pageBreakBefore w:val="0"/>
        <w:numPr>
          <w:ilvl w:val="0"/>
          <w:numId w:val="0"/>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19700" cy="1624330"/>
            <wp:effectExtent l="0" t="0" r="0" b="127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rcRect t="9034" b="35645"/>
                    <a:stretch>
                      <a:fillRect/>
                    </a:stretch>
                  </pic:blipFill>
                  <pic:spPr>
                    <a:xfrm>
                      <a:off x="0" y="0"/>
                      <a:ext cx="5219700" cy="1624330"/>
                    </a:xfrm>
                    <a:prstGeom prst="rect">
                      <a:avLst/>
                    </a:prstGeom>
                    <a:noFill/>
                    <a:ln>
                      <a:noFill/>
                    </a:ln>
                  </pic:spPr>
                </pic:pic>
              </a:graphicData>
            </a:graphic>
          </wp:inline>
        </w:drawing>
      </w:r>
    </w:p>
    <w:p w14:paraId="5D946D2F">
      <w:pPr>
        <w:keepNext w:val="0"/>
        <w:keepLines w:val="0"/>
        <w:pageBreakBefore w:val="0"/>
        <w:widowControl/>
        <w:suppressLineNumbers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19（2）</w:t>
      </w:r>
    </w:p>
    <w:p w14:paraId="15A1E857">
      <w:pPr>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color w:val="auto"/>
          <w:sz w:val="21"/>
          <w:szCs w:val="21"/>
          <w:highlight w:val="none"/>
          <w:lang w:val="en-US" w:eastAsia="zh-CN"/>
        </w:rPr>
      </w:pPr>
      <w:r>
        <w:rPr>
          <w:rFonts w:hint="eastAsia" w:ascii="宋体" w:hAnsi="宋体" w:eastAsia="宋体" w:cs="宋体"/>
          <w:b/>
          <w:bCs/>
          <w:sz w:val="21"/>
          <w:szCs w:val="21"/>
          <w:highlight w:val="yellow"/>
          <w:lang w:val="en-US" w:eastAsia="zh-CN"/>
        </w:rPr>
        <w:t>参考答案：</w:t>
      </w:r>
      <w:r>
        <w:rPr>
          <w:rFonts w:hint="eastAsia" w:ascii="宋体" w:hAnsi="宋体" w:eastAsia="宋体" w:cs="宋体"/>
          <w:color w:val="auto"/>
          <w:sz w:val="21"/>
          <w:szCs w:val="21"/>
          <w:highlight w:val="none"/>
          <w:lang w:val="en-US" w:eastAsia="zh-CN"/>
        </w:rPr>
        <w:t>民事主体行使民事权利不得超过正当界限，不得损害国家、社会、他人合法权益；在解决纠纷中，公民既要有维权意识，又要选择适当途径解决纠纷践行文明、和谐的社会主义核心价值观。坚持多元纠纷解决机制，支持人们</w:t>
      </w:r>
      <w:bookmarkStart w:id="0" w:name="OLE_LINK2"/>
      <w:r>
        <w:rPr>
          <w:rFonts w:hint="eastAsia" w:ascii="宋体" w:hAnsi="宋体" w:eastAsia="宋体" w:cs="宋体"/>
          <w:color w:val="auto"/>
          <w:sz w:val="21"/>
          <w:szCs w:val="21"/>
          <w:highlight w:val="none"/>
          <w:lang w:val="en-US" w:eastAsia="zh-CN"/>
        </w:rPr>
        <w:t>理性表达诉求、依法维护权益</w:t>
      </w:r>
      <w:bookmarkEnd w:id="0"/>
      <w:r>
        <w:rPr>
          <w:rFonts w:hint="eastAsia" w:ascii="宋体" w:hAnsi="宋体" w:eastAsia="宋体" w:cs="宋体"/>
          <w:color w:val="auto"/>
          <w:sz w:val="21"/>
          <w:szCs w:val="21"/>
          <w:highlight w:val="none"/>
          <w:lang w:val="en-US" w:eastAsia="zh-CN"/>
        </w:rPr>
        <w:t>，社会形成尊法学法守法用法的氛围，增进社会共识，维护社会秩序；通过适当的解决纠纷机制之间协调运行，能更好协调各方利益，有效化解社会矛盾，实现社会和谐，</w:t>
      </w:r>
      <w:bookmarkStart w:id="1" w:name="OLE_LINK1"/>
      <w:r>
        <w:rPr>
          <w:rFonts w:hint="eastAsia" w:ascii="宋体" w:hAnsi="宋体" w:eastAsia="宋体" w:cs="宋体"/>
          <w:color w:val="auto"/>
          <w:sz w:val="21"/>
          <w:szCs w:val="21"/>
          <w:highlight w:val="none"/>
          <w:lang w:val="en-US" w:eastAsia="zh-CN"/>
        </w:rPr>
        <w:t>提升社会治理水平</w:t>
      </w:r>
      <w:bookmarkEnd w:id="1"/>
      <w:r>
        <w:rPr>
          <w:rFonts w:hint="eastAsia" w:ascii="宋体" w:hAnsi="宋体" w:eastAsia="宋体" w:cs="宋体"/>
          <w:color w:val="auto"/>
          <w:sz w:val="21"/>
          <w:szCs w:val="21"/>
          <w:highlight w:val="none"/>
          <w:lang w:val="en-US" w:eastAsia="zh-CN"/>
        </w:rPr>
        <w:t>。</w:t>
      </w:r>
    </w:p>
    <w:p w14:paraId="64ED435A">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b/>
          <w:bCs/>
          <w:sz w:val="21"/>
          <w:szCs w:val="21"/>
          <w:highlight w:val="yellow"/>
          <w:lang w:val="en-US" w:eastAsia="zh-CN"/>
        </w:rPr>
      </w:pPr>
      <w:r>
        <w:rPr>
          <w:rFonts w:hint="eastAsia" w:ascii="宋体" w:hAnsi="宋体" w:eastAsia="宋体" w:cs="宋体"/>
          <w:b/>
          <w:bCs/>
          <w:sz w:val="21"/>
          <w:szCs w:val="21"/>
          <w:highlight w:val="yellow"/>
          <w:lang w:val="en-US" w:eastAsia="zh-CN"/>
        </w:rPr>
        <w:t>阅卷细则</w:t>
      </w:r>
      <w:r>
        <w:rPr>
          <w:rFonts w:hint="eastAsia" w:ascii="宋体" w:hAnsi="宋体" w:cs="宋体"/>
          <w:b/>
          <w:bCs/>
          <w:sz w:val="21"/>
          <w:szCs w:val="21"/>
          <w:highlight w:val="yellow"/>
          <w:lang w:val="en-US" w:eastAsia="zh-CN"/>
        </w:rPr>
        <w:t>：</w:t>
      </w:r>
    </w:p>
    <w:p w14:paraId="75A7D6FB">
      <w:pPr>
        <w:keepNext w:val="0"/>
        <w:keepLines w:val="0"/>
        <w:pageBreakBefore w:val="0"/>
        <w:kinsoku/>
        <w:wordWrap/>
        <w:overflowPunct/>
        <w:topLinePunct w:val="0"/>
        <w:autoSpaceDE/>
        <w:autoSpaceDN/>
        <w:bidi w:val="0"/>
        <w:adjustRightInd/>
        <w:snapToGrid/>
        <w:spacing w:line="300" w:lineRule="auto"/>
        <w:ind w:left="0"/>
        <w:jc w:val="both"/>
        <w:textAlignment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0000FF"/>
          <w:sz w:val="21"/>
          <w:szCs w:val="21"/>
          <w:highlight w:val="none"/>
          <w:lang w:val="en-US" w:eastAsia="zh-CN"/>
        </w:rPr>
        <w:t>对个人的价值</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维护</w:t>
      </w:r>
      <w:r>
        <w:rPr>
          <w:rFonts w:hint="eastAsia" w:ascii="宋体" w:hAnsi="宋体" w:eastAsia="宋体" w:cs="宋体"/>
          <w:color w:val="auto"/>
          <w:sz w:val="21"/>
          <w:szCs w:val="21"/>
          <w:highlight w:val="none"/>
          <w:lang w:val="en-US" w:eastAsia="zh-CN"/>
        </w:rPr>
        <w:t>(企业）公民</w:t>
      </w:r>
      <w:r>
        <w:rPr>
          <w:rFonts w:hint="eastAsia" w:ascii="宋体" w:hAnsi="宋体" w:eastAsia="宋体" w:cs="宋体"/>
          <w:color w:val="auto"/>
          <w:sz w:val="21"/>
          <w:szCs w:val="21"/>
          <w:highlight w:val="none"/>
        </w:rPr>
        <w:t>的合法权益</w:t>
      </w:r>
      <w:r>
        <w:rPr>
          <w:rFonts w:hint="eastAsia" w:ascii="宋体" w:hAnsi="宋体" w:eastAsia="宋体" w:cs="宋体"/>
          <w:color w:val="auto"/>
          <w:sz w:val="21"/>
          <w:szCs w:val="21"/>
          <w:highlight w:val="none"/>
          <w:lang w:val="en-US" w:eastAsia="zh-CN"/>
        </w:rPr>
        <w:t>/ 增强公众对法律的信任和遵守意识(2分）</w:t>
      </w:r>
    </w:p>
    <w:p w14:paraId="7F22C63D">
      <w:pPr>
        <w:keepNext w:val="0"/>
        <w:keepLines w:val="0"/>
        <w:pageBreakBefore w:val="0"/>
        <w:kinsoku/>
        <w:wordWrap/>
        <w:overflowPunct/>
        <w:topLinePunct w:val="0"/>
        <w:autoSpaceDE/>
        <w:autoSpaceDN/>
        <w:bidi w:val="0"/>
        <w:adjustRightInd/>
        <w:snapToGrid/>
        <w:spacing w:line="300" w:lineRule="auto"/>
        <w:ind w:left="0"/>
        <w:jc w:val="both"/>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0000FF"/>
          <w:sz w:val="21"/>
          <w:szCs w:val="21"/>
          <w:highlight w:val="none"/>
          <w:lang w:val="en-US" w:eastAsia="zh-CN"/>
        </w:rPr>
        <w:t>对企业的价值</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保护企业的合法权益</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规范市场主体的行为</w:t>
      </w:r>
      <w:r>
        <w:rPr>
          <w:rFonts w:hint="eastAsia" w:ascii="宋体" w:hAnsi="宋体" w:eastAsia="宋体" w:cs="宋体"/>
          <w:color w:val="auto"/>
          <w:sz w:val="21"/>
          <w:szCs w:val="21"/>
          <w:highlight w:val="none"/>
          <w:lang w:val="en-US" w:eastAsia="zh-CN"/>
        </w:rPr>
        <w:t>(促进企业依法、诚信经营）/</w:t>
      </w:r>
      <w:r>
        <w:rPr>
          <w:rFonts w:hint="eastAsia" w:ascii="宋体" w:hAnsi="宋体" w:eastAsia="宋体" w:cs="宋体"/>
          <w:color w:val="auto"/>
          <w:sz w:val="21"/>
          <w:szCs w:val="21"/>
          <w:highlight w:val="none"/>
        </w:rPr>
        <w:t>维护公平的市场竞争秩序</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yellow"/>
          <w:lang w:val="en-US" w:eastAsia="zh-CN"/>
        </w:rPr>
        <w:t>两个合法权益不重复给分</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2分</w:t>
      </w:r>
      <w:r>
        <w:rPr>
          <w:rFonts w:hint="eastAsia" w:ascii="宋体" w:hAnsi="宋体" w:eastAsia="宋体" w:cs="宋体"/>
          <w:color w:val="auto"/>
          <w:sz w:val="21"/>
          <w:szCs w:val="21"/>
          <w:highlight w:val="none"/>
          <w:lang w:eastAsia="zh-CN"/>
        </w:rPr>
        <w:t>）</w:t>
      </w:r>
    </w:p>
    <w:p w14:paraId="13E13782">
      <w:pPr>
        <w:keepNext w:val="0"/>
        <w:keepLines w:val="0"/>
        <w:pageBreakBefore w:val="0"/>
        <w:kinsoku/>
        <w:wordWrap/>
        <w:overflowPunct/>
        <w:topLinePunct w:val="0"/>
        <w:autoSpaceDE/>
        <w:autoSpaceDN/>
        <w:bidi w:val="0"/>
        <w:adjustRightInd/>
        <w:snapToGrid/>
        <w:spacing w:line="300" w:lineRule="auto"/>
        <w:ind w:left="0"/>
        <w:jc w:val="both"/>
        <w:textAlignment w:val="center"/>
        <w:rPr>
          <w:rFonts w:hint="eastAsia" w:ascii="宋体" w:hAnsi="宋体" w:eastAsia="宋体" w:cs="宋体"/>
          <w:color w:val="auto"/>
          <w:sz w:val="21"/>
          <w:szCs w:val="21"/>
          <w:highlight w:val="none"/>
        </w:rPr>
      </w:pPr>
      <w:r>
        <w:rPr>
          <w:rFonts w:hint="eastAsia" w:ascii="宋体" w:hAnsi="宋体" w:eastAsia="宋体" w:cs="宋体"/>
          <w:color w:val="0000FF"/>
          <w:sz w:val="21"/>
          <w:szCs w:val="21"/>
          <w:highlight w:val="none"/>
          <w:lang w:val="en-US" w:eastAsia="zh-CN"/>
        </w:rPr>
        <w:t>对社会的价值</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化解社会矛盾</w:t>
      </w:r>
      <w:r>
        <w:rPr>
          <w:rFonts w:hint="eastAsia" w:ascii="宋体" w:hAnsi="宋体" w:eastAsia="宋体" w:cs="宋体"/>
          <w:color w:val="auto"/>
          <w:sz w:val="21"/>
          <w:szCs w:val="21"/>
          <w:highlight w:val="none"/>
          <w:lang w:val="en-US" w:eastAsia="zh-CN"/>
        </w:rPr>
        <w:t>/促进</w:t>
      </w:r>
      <w:r>
        <w:rPr>
          <w:rFonts w:hint="eastAsia" w:ascii="宋体" w:hAnsi="宋体" w:eastAsia="宋体" w:cs="宋体"/>
          <w:color w:val="auto"/>
          <w:sz w:val="21"/>
          <w:szCs w:val="21"/>
          <w:highlight w:val="none"/>
        </w:rPr>
        <w:t>社会和谐</w:t>
      </w:r>
      <w:r>
        <w:rPr>
          <w:rFonts w:hint="eastAsia" w:ascii="宋体" w:hAnsi="宋体" w:eastAsia="宋体" w:cs="宋体"/>
          <w:color w:val="auto"/>
          <w:sz w:val="21"/>
          <w:szCs w:val="21"/>
          <w:highlight w:val="none"/>
          <w:lang w:val="en-US" w:eastAsia="zh-CN"/>
        </w:rPr>
        <w:t>/</w:t>
      </w:r>
      <w:r>
        <w:rPr>
          <w:rFonts w:hint="eastAsia" w:ascii="宋体" w:hAnsi="宋体" w:eastAsia="宋体" w:cs="宋体"/>
          <w:color w:val="auto"/>
          <w:sz w:val="21"/>
          <w:szCs w:val="21"/>
          <w:highlight w:val="none"/>
        </w:rPr>
        <w:t>维护社会秩序</w:t>
      </w:r>
      <w:r>
        <w:rPr>
          <w:rFonts w:hint="eastAsia" w:ascii="宋体" w:hAnsi="宋体" w:eastAsia="宋体" w:cs="宋体"/>
          <w:color w:val="auto"/>
          <w:sz w:val="21"/>
          <w:szCs w:val="21"/>
          <w:highlight w:val="none"/>
          <w:lang w:val="en-US" w:eastAsia="zh-CN"/>
        </w:rPr>
        <w:t>/促进</w:t>
      </w:r>
      <w:r>
        <w:rPr>
          <w:rFonts w:hint="eastAsia" w:ascii="宋体" w:hAnsi="宋体" w:eastAsia="宋体" w:cs="宋体"/>
          <w:color w:val="auto"/>
          <w:sz w:val="21"/>
          <w:szCs w:val="21"/>
          <w:highlight w:val="none"/>
        </w:rPr>
        <w:t>公平正义</w:t>
      </w:r>
      <w:r>
        <w:rPr>
          <w:rFonts w:hint="eastAsia" w:ascii="宋体" w:hAnsi="宋体" w:eastAsia="宋体" w:cs="宋体"/>
          <w:color w:val="auto"/>
          <w:sz w:val="21"/>
          <w:szCs w:val="21"/>
          <w:highlight w:val="none"/>
          <w:lang w:val="en-US" w:eastAsia="zh-CN"/>
        </w:rPr>
        <w:t>/提升社会治理水平（2分）</w:t>
      </w:r>
    </w:p>
    <w:p w14:paraId="5DB73B05">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1个角度2分，2个角度4分，3个角度5分，满分不超过5分</w:t>
      </w:r>
    </w:p>
    <w:p w14:paraId="19F32878">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sz w:val="21"/>
          <w:szCs w:val="21"/>
        </w:rPr>
      </w:pPr>
      <w:r>
        <w:rPr>
          <w:rFonts w:hint="eastAsia" w:ascii="宋体" w:hAnsi="宋体" w:eastAsia="宋体" w:cs="宋体"/>
          <w:b/>
          <w:bCs/>
          <w:sz w:val="21"/>
          <w:szCs w:val="21"/>
          <w:highlight w:val="yellow"/>
          <w:lang w:val="en-US" w:eastAsia="zh-CN"/>
        </w:rPr>
        <w:t>20.评分细则：</w:t>
      </w:r>
      <w:r>
        <w:rPr>
          <w:rFonts w:hint="eastAsia" w:ascii="宋体" w:hAnsi="宋体" w:eastAsia="宋体" w:cs="宋体"/>
          <w:color w:val="FF0000"/>
          <w:sz w:val="21"/>
          <w:szCs w:val="21"/>
        </w:rPr>
        <w:t>1.</w:t>
      </w:r>
      <w:r>
        <w:rPr>
          <w:rFonts w:hint="eastAsia" w:ascii="宋体" w:hAnsi="宋体" w:eastAsia="宋体" w:cs="宋体"/>
          <w:color w:val="FF0000"/>
          <w:sz w:val="21"/>
          <w:szCs w:val="21"/>
          <w:lang w:eastAsia="zh-CN"/>
        </w:rPr>
        <w:t>项目本身的创新和实践优势</w:t>
      </w:r>
      <w:r>
        <w:rPr>
          <w:rFonts w:hint="eastAsia" w:ascii="宋体" w:hAnsi="宋体" w:eastAsia="宋体" w:cs="宋体"/>
          <w:color w:val="FF0000"/>
          <w:sz w:val="21"/>
          <w:szCs w:val="21"/>
        </w:rPr>
        <w:t>（2分）</w:t>
      </w:r>
      <w:r>
        <w:rPr>
          <w:rFonts w:hint="eastAsia" w:ascii="宋体" w:hAnsi="宋体" w:eastAsia="宋体" w:cs="宋体"/>
          <w:sz w:val="21"/>
          <w:szCs w:val="21"/>
        </w:rPr>
        <w:t xml:space="preserve">  聚焦发展中国家紧迫需求/灵活实施/快速响应基层社区需求（1分）</w:t>
      </w:r>
      <w:r>
        <w:rPr>
          <w:rFonts w:hint="eastAsia" w:ascii="宋体" w:hAnsi="宋体" w:eastAsia="宋体" w:cs="宋体"/>
          <w:sz w:val="21"/>
          <w:szCs w:val="21"/>
          <w:lang w:eastAsia="zh-CN"/>
        </w:rPr>
        <w:t>；</w:t>
      </w:r>
      <w:r>
        <w:rPr>
          <w:rFonts w:hint="eastAsia" w:ascii="宋体" w:hAnsi="宋体" w:eastAsia="宋体" w:cs="宋体"/>
          <w:sz w:val="21"/>
          <w:szCs w:val="21"/>
        </w:rPr>
        <w:t>规模小更易统筹、可推广，形成品牌和共同发展目标（1分）。</w:t>
      </w:r>
      <w:r>
        <w:rPr>
          <w:rFonts w:hint="eastAsia" w:ascii="宋体" w:hAnsi="宋体" w:eastAsia="宋体" w:cs="宋体"/>
          <w:color w:val="FF0000"/>
          <w:sz w:val="21"/>
          <w:szCs w:val="21"/>
        </w:rPr>
        <w:t xml:space="preserve">2. </w:t>
      </w:r>
      <w:r>
        <w:rPr>
          <w:rFonts w:hint="eastAsia" w:ascii="宋体" w:hAnsi="宋体" w:eastAsia="宋体" w:cs="宋体"/>
          <w:sz w:val="21"/>
          <w:szCs w:val="21"/>
        </w:rPr>
        <w:t xml:space="preserve"> </w:t>
      </w:r>
      <w:r>
        <w:rPr>
          <w:rFonts w:hint="eastAsia" w:ascii="宋体" w:hAnsi="宋体" w:eastAsia="宋体" w:cs="宋体"/>
          <w:color w:val="FF0000"/>
          <w:sz w:val="21"/>
          <w:szCs w:val="21"/>
          <w:lang w:eastAsia="zh-CN"/>
        </w:rPr>
        <w:t>项目对当地的</w:t>
      </w:r>
      <w:r>
        <w:rPr>
          <w:rFonts w:hint="eastAsia" w:ascii="宋体" w:hAnsi="宋体" w:eastAsia="宋体" w:cs="宋体"/>
          <w:color w:val="FF0000"/>
          <w:sz w:val="21"/>
          <w:szCs w:val="21"/>
        </w:rPr>
        <w:t>价值（2分）</w:t>
      </w:r>
      <w:r>
        <w:rPr>
          <w:rFonts w:hint="eastAsia" w:ascii="宋体" w:hAnsi="宋体" w:eastAsia="宋体" w:cs="宋体"/>
          <w:sz w:val="21"/>
          <w:szCs w:val="21"/>
        </w:rPr>
        <w:t>改善民生/促进就业/提升公共卫生水平</w:t>
      </w:r>
      <w:r>
        <w:rPr>
          <w:rFonts w:hint="eastAsia" w:ascii="宋体" w:hAnsi="宋体" w:eastAsia="宋体" w:cs="宋体"/>
          <w:sz w:val="21"/>
          <w:szCs w:val="21"/>
          <w:lang w:val="en-US" w:eastAsia="zh-CN"/>
        </w:rPr>
        <w:t>/促进经济社会发展、</w:t>
      </w:r>
      <w:r>
        <w:rPr>
          <w:rFonts w:hint="eastAsia" w:ascii="宋体" w:hAnsi="宋体" w:eastAsia="宋体" w:cs="宋体"/>
          <w:sz w:val="21"/>
          <w:szCs w:val="21"/>
        </w:rPr>
        <w:t>提升民众获得感等具体惠民措施（</w:t>
      </w:r>
      <w:r>
        <w:rPr>
          <w:rFonts w:hint="eastAsia" w:ascii="宋体" w:hAnsi="宋体" w:eastAsia="宋体" w:cs="宋体"/>
          <w:sz w:val="21"/>
          <w:szCs w:val="21"/>
          <w:lang w:val="en-US" w:eastAsia="zh-CN"/>
        </w:rPr>
        <w:t>2</w:t>
      </w:r>
      <w:r>
        <w:rPr>
          <w:rFonts w:hint="eastAsia" w:ascii="宋体" w:hAnsi="宋体" w:eastAsia="宋体" w:cs="宋体"/>
          <w:sz w:val="21"/>
          <w:szCs w:val="21"/>
        </w:rPr>
        <w:t>分）；</w:t>
      </w:r>
      <w:r>
        <w:rPr>
          <w:rFonts w:hint="eastAsia" w:ascii="宋体" w:hAnsi="宋体" w:eastAsia="宋体" w:cs="宋体"/>
          <w:sz w:val="21"/>
          <w:szCs w:val="21"/>
          <w:lang w:val="en-US" w:eastAsia="zh-CN"/>
        </w:rPr>
        <w:t>3.</w:t>
      </w:r>
      <w:r>
        <w:rPr>
          <w:rFonts w:hint="eastAsia" w:ascii="宋体" w:hAnsi="宋体" w:eastAsia="宋体" w:cs="宋体"/>
          <w:color w:val="FF0000"/>
          <w:sz w:val="21"/>
          <w:szCs w:val="21"/>
          <w:lang w:eastAsia="zh-CN"/>
        </w:rPr>
        <w:t>项目对我国的意义或折射我国的理念</w:t>
      </w:r>
      <w:r>
        <w:rPr>
          <w:rFonts w:hint="eastAsia" w:ascii="宋体" w:hAnsi="宋体" w:eastAsia="宋体" w:cs="宋体"/>
          <w:color w:val="FF0000"/>
          <w:sz w:val="21"/>
          <w:szCs w:val="21"/>
        </w:rPr>
        <w:t>（2分）</w:t>
      </w:r>
      <w:r>
        <w:rPr>
          <w:rFonts w:hint="eastAsia" w:ascii="宋体" w:hAnsi="宋体" w:eastAsia="宋体" w:cs="宋体"/>
          <w:sz w:val="21"/>
          <w:szCs w:val="21"/>
        </w:rPr>
        <w:t>传播中华文化/增强文明互鉴/提升国际认</w:t>
      </w:r>
      <w:r>
        <w:rPr>
          <w:rFonts w:hint="eastAsia" w:ascii="宋体" w:hAnsi="宋体" w:eastAsia="宋体" w:cs="宋体"/>
          <w:sz w:val="21"/>
          <w:szCs w:val="21"/>
          <w:lang w:eastAsia="zh-CN"/>
        </w:rPr>
        <w:t>同、</w:t>
      </w:r>
      <w:r>
        <w:rPr>
          <w:rFonts w:hint="eastAsia" w:ascii="宋体" w:hAnsi="宋体" w:eastAsia="宋体" w:cs="宋体"/>
          <w:sz w:val="21"/>
          <w:szCs w:val="21"/>
        </w:rPr>
        <w:t>正确义利观/共商共建共享原则</w:t>
      </w:r>
      <w:r>
        <w:rPr>
          <w:rFonts w:hint="eastAsia" w:ascii="宋体" w:hAnsi="宋体" w:eastAsia="宋体" w:cs="宋体"/>
          <w:sz w:val="21"/>
          <w:szCs w:val="21"/>
          <w:lang w:eastAsia="zh-CN"/>
        </w:rPr>
        <w:t>、</w:t>
      </w:r>
      <w:r>
        <w:rPr>
          <w:rFonts w:hint="eastAsia" w:ascii="宋体" w:hAnsi="宋体" w:eastAsia="宋体" w:cs="宋体"/>
          <w:sz w:val="21"/>
          <w:szCs w:val="21"/>
        </w:rPr>
        <w:t>彰显大国担当、负责任大国形象</w:t>
      </w:r>
      <w:r>
        <w:rPr>
          <w:rFonts w:hint="eastAsia" w:ascii="宋体" w:hAnsi="宋体" w:eastAsia="宋体" w:cs="宋体"/>
          <w:sz w:val="21"/>
          <w:szCs w:val="21"/>
          <w:lang w:eastAsia="zh-CN"/>
        </w:rPr>
        <w:t>、</w:t>
      </w:r>
      <w:r>
        <w:rPr>
          <w:rFonts w:hint="eastAsia" w:ascii="宋体" w:hAnsi="宋体" w:eastAsia="宋体" w:cs="宋体"/>
          <w:sz w:val="21"/>
          <w:szCs w:val="21"/>
        </w:rPr>
        <w:t>独立自主和平外交政策</w:t>
      </w:r>
      <w:r>
        <w:rPr>
          <w:rFonts w:hint="eastAsia" w:ascii="宋体" w:hAnsi="宋体" w:eastAsia="宋体" w:cs="宋体"/>
          <w:sz w:val="21"/>
          <w:szCs w:val="21"/>
          <w:lang w:eastAsia="zh-CN"/>
        </w:rPr>
        <w:t>、</w:t>
      </w:r>
      <w:r>
        <w:rPr>
          <w:rFonts w:hint="eastAsia" w:ascii="宋体" w:hAnsi="宋体" w:eastAsia="宋体" w:cs="宋体"/>
          <w:sz w:val="21"/>
          <w:szCs w:val="21"/>
        </w:rPr>
        <w:t>发展开放型经济</w:t>
      </w:r>
      <w:r>
        <w:rPr>
          <w:rFonts w:hint="eastAsia" w:ascii="宋体" w:hAnsi="宋体" w:eastAsia="宋体" w:cs="宋体"/>
          <w:sz w:val="21"/>
          <w:szCs w:val="21"/>
          <w:lang w:eastAsia="zh-CN"/>
        </w:rPr>
        <w:t>（</w:t>
      </w:r>
      <w:r>
        <w:rPr>
          <w:rFonts w:hint="eastAsia" w:ascii="宋体" w:hAnsi="宋体" w:eastAsia="宋体" w:cs="宋体"/>
          <w:sz w:val="21"/>
          <w:szCs w:val="21"/>
        </w:rPr>
        <w:t>以上任意一点1分，不超过</w:t>
      </w:r>
      <w:r>
        <w:rPr>
          <w:rFonts w:hint="eastAsia" w:ascii="宋体" w:hAnsi="宋体" w:eastAsia="宋体" w:cs="宋体"/>
          <w:sz w:val="21"/>
          <w:szCs w:val="21"/>
          <w:lang w:val="en-US" w:eastAsia="zh-CN"/>
        </w:rPr>
        <w:t>2</w:t>
      </w:r>
      <w:r>
        <w:rPr>
          <w:rFonts w:hint="eastAsia" w:ascii="宋体" w:hAnsi="宋体" w:eastAsia="宋体" w:cs="宋体"/>
          <w:sz w:val="21"/>
          <w:szCs w:val="21"/>
        </w:rPr>
        <w:t>分。</w:t>
      </w:r>
      <w:r>
        <w:rPr>
          <w:rFonts w:hint="eastAsia" w:ascii="宋体" w:hAnsi="宋体" w:eastAsia="宋体" w:cs="宋体"/>
          <w:sz w:val="21"/>
          <w:szCs w:val="21"/>
          <w:lang w:eastAsia="zh-CN"/>
        </w:rPr>
        <w:t>）</w:t>
      </w:r>
      <w:r>
        <w:rPr>
          <w:rFonts w:hint="eastAsia" w:ascii="宋体" w:hAnsi="宋体" w:eastAsia="宋体" w:cs="宋体"/>
          <w:color w:val="FF0000"/>
          <w:sz w:val="21"/>
          <w:szCs w:val="21"/>
        </w:rPr>
        <w:t xml:space="preserve">4. </w:t>
      </w:r>
      <w:r>
        <w:rPr>
          <w:rFonts w:hint="eastAsia" w:ascii="宋体" w:hAnsi="宋体" w:eastAsia="宋体" w:cs="宋体"/>
          <w:color w:val="FF0000"/>
          <w:sz w:val="21"/>
          <w:szCs w:val="21"/>
          <w:lang w:eastAsia="zh-CN"/>
        </w:rPr>
        <w:t>项目对世界的意义和贡献</w:t>
      </w:r>
      <w:r>
        <w:rPr>
          <w:rFonts w:hint="eastAsia" w:ascii="宋体" w:hAnsi="宋体" w:eastAsia="宋体" w:cs="宋体"/>
          <w:color w:val="FF0000"/>
          <w:sz w:val="21"/>
          <w:szCs w:val="21"/>
        </w:rPr>
        <w:t>（2分）</w:t>
      </w:r>
      <w:r>
        <w:rPr>
          <w:rFonts w:hint="eastAsia" w:ascii="宋体" w:hAnsi="宋体" w:eastAsia="宋体" w:cs="宋体"/>
          <w:sz w:val="21"/>
          <w:szCs w:val="21"/>
          <w:lang w:eastAsia="zh-CN"/>
        </w:rPr>
        <w:t>构建</w:t>
      </w:r>
      <w:r>
        <w:rPr>
          <w:rFonts w:hint="eastAsia" w:ascii="宋体" w:hAnsi="宋体" w:eastAsia="宋体" w:cs="宋体"/>
          <w:sz w:val="21"/>
          <w:szCs w:val="21"/>
        </w:rPr>
        <w:t>人类命运共同体</w:t>
      </w:r>
      <w:r>
        <w:rPr>
          <w:rFonts w:hint="eastAsia" w:ascii="宋体" w:hAnsi="宋体" w:eastAsia="宋体" w:cs="宋体"/>
          <w:sz w:val="21"/>
          <w:szCs w:val="21"/>
          <w:lang w:eastAsia="zh-CN"/>
        </w:rPr>
        <w:t>、</w:t>
      </w:r>
      <w:r>
        <w:rPr>
          <w:rFonts w:hint="eastAsia" w:ascii="宋体" w:hAnsi="宋体" w:eastAsia="宋体" w:cs="宋体"/>
          <w:sz w:val="21"/>
          <w:szCs w:val="21"/>
        </w:rPr>
        <w:t>为重构公正合理的国际政治经济秩序提供中国方案</w:t>
      </w:r>
      <w:r>
        <w:rPr>
          <w:rFonts w:hint="eastAsia" w:ascii="宋体" w:hAnsi="宋体" w:eastAsia="宋体" w:cs="宋体"/>
          <w:sz w:val="21"/>
          <w:szCs w:val="21"/>
          <w:lang w:eastAsia="zh-CN"/>
        </w:rPr>
        <w:t>、推动经济全球化朝着开放包容普惠的方向发展、</w:t>
      </w:r>
      <w:r>
        <w:rPr>
          <w:rFonts w:hint="eastAsia" w:ascii="宋体" w:hAnsi="宋体" w:eastAsia="宋体" w:cs="宋体"/>
          <w:sz w:val="21"/>
          <w:szCs w:val="21"/>
        </w:rPr>
        <w:t>推动国际关系民主化</w:t>
      </w:r>
      <w:r>
        <w:rPr>
          <w:rFonts w:hint="eastAsia" w:ascii="宋体" w:hAnsi="宋体" w:eastAsia="宋体" w:cs="宋体"/>
          <w:sz w:val="21"/>
          <w:szCs w:val="21"/>
          <w:lang w:eastAsia="zh-CN"/>
        </w:rPr>
        <w:t>（</w:t>
      </w:r>
      <w:r>
        <w:rPr>
          <w:rFonts w:hint="eastAsia" w:ascii="宋体" w:hAnsi="宋体" w:eastAsia="宋体" w:cs="宋体"/>
          <w:sz w:val="21"/>
          <w:szCs w:val="21"/>
        </w:rPr>
        <w:t>以上任意一点1分，不超过</w:t>
      </w:r>
      <w:r>
        <w:rPr>
          <w:rFonts w:hint="eastAsia" w:ascii="宋体" w:hAnsi="宋体" w:eastAsia="宋体" w:cs="宋体"/>
          <w:sz w:val="21"/>
          <w:szCs w:val="21"/>
          <w:lang w:val="en-US" w:eastAsia="zh-CN"/>
        </w:rPr>
        <w:t>2</w:t>
      </w:r>
      <w:r>
        <w:rPr>
          <w:rFonts w:hint="eastAsia" w:ascii="宋体" w:hAnsi="宋体" w:eastAsia="宋体" w:cs="宋体"/>
          <w:sz w:val="21"/>
          <w:szCs w:val="21"/>
        </w:rPr>
        <w:t>分。</w:t>
      </w:r>
      <w:r>
        <w:rPr>
          <w:rFonts w:hint="eastAsia" w:ascii="宋体" w:hAnsi="宋体" w:eastAsia="宋体" w:cs="宋体"/>
          <w:sz w:val="21"/>
          <w:szCs w:val="21"/>
          <w:lang w:eastAsia="zh-CN"/>
        </w:rPr>
        <w:t>）</w:t>
      </w:r>
    </w:p>
    <w:p w14:paraId="4EC59A13">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sz w:val="21"/>
          <w:szCs w:val="21"/>
        </w:rPr>
      </w:pPr>
      <w:r>
        <w:rPr>
          <w:rFonts w:hint="eastAsia" w:ascii="宋体" w:hAnsi="宋体" w:eastAsia="宋体" w:cs="宋体"/>
          <w:color w:val="FF0000"/>
          <w:sz w:val="21"/>
          <w:szCs w:val="21"/>
          <w:highlight w:val="yellow"/>
        </w:rPr>
        <w:t>说明：</w:t>
      </w:r>
      <w:r>
        <w:rPr>
          <w:rFonts w:hint="eastAsia" w:ascii="宋体" w:hAnsi="宋体" w:eastAsia="宋体" w:cs="宋体"/>
          <w:sz w:val="21"/>
          <w:szCs w:val="21"/>
        </w:rPr>
        <w:t xml:space="preserve"> </w:t>
      </w:r>
    </w:p>
    <w:p w14:paraId="6AE87C93">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 xml:space="preserve">- 按要点赋分，总分不超过8分；  </w:t>
      </w:r>
    </w:p>
    <w:p w14:paraId="409C8028">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 逻辑连贯，答案要点有一定逻辑顺序，阐述不混乱，能合理推导</w:t>
      </w:r>
      <w:r>
        <w:rPr>
          <w:rFonts w:hint="eastAsia" w:ascii="宋体" w:hAnsi="宋体" w:eastAsia="宋体" w:cs="宋体"/>
          <w:sz w:val="21"/>
          <w:szCs w:val="21"/>
          <w:lang w:eastAsia="zh-CN"/>
        </w:rPr>
        <w:t>，</w:t>
      </w:r>
      <w:r>
        <w:rPr>
          <w:rFonts w:hint="eastAsia" w:ascii="宋体" w:hAnsi="宋体" w:eastAsia="宋体" w:cs="宋体"/>
          <w:sz w:val="21"/>
          <w:szCs w:val="21"/>
        </w:rPr>
        <w:t>逻辑较混乱但要点有涉及，</w:t>
      </w:r>
      <w:r>
        <w:rPr>
          <w:rFonts w:hint="eastAsia" w:ascii="宋体" w:hAnsi="宋体" w:eastAsia="宋体" w:cs="宋体"/>
          <w:sz w:val="21"/>
          <w:szCs w:val="21"/>
          <w:lang w:eastAsia="zh-CN"/>
        </w:rPr>
        <w:t>酌情</w:t>
      </w:r>
      <w:r>
        <w:rPr>
          <w:rFonts w:hint="eastAsia" w:ascii="宋体" w:hAnsi="宋体" w:eastAsia="宋体" w:cs="宋体"/>
          <w:sz w:val="21"/>
          <w:szCs w:val="21"/>
        </w:rPr>
        <w:t>扣分。</w:t>
      </w:r>
    </w:p>
    <w:p w14:paraId="3A916567">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rPr>
      </w:pPr>
      <w:r>
        <w:rPr>
          <w:rFonts w:hint="eastAsia" w:ascii="宋体" w:hAnsi="宋体" w:eastAsia="宋体" w:cs="宋体"/>
          <w:sz w:val="21"/>
          <w:szCs w:val="21"/>
        </w:rPr>
        <w:t>- 材料关联，能结合题目材料中“中老铁路</w:t>
      </w:r>
      <w:r>
        <w:rPr>
          <w:rFonts w:hint="eastAsia" w:ascii="宋体" w:hAnsi="宋体" w:eastAsia="宋体" w:cs="宋体"/>
          <w:sz w:val="21"/>
          <w:szCs w:val="21"/>
          <w:lang w:eastAsia="zh-CN"/>
        </w:rPr>
        <w:t>、</w:t>
      </w:r>
      <w:r>
        <w:rPr>
          <w:rFonts w:hint="eastAsia" w:ascii="宋体" w:hAnsi="宋体" w:eastAsia="宋体" w:cs="宋体"/>
          <w:sz w:val="21"/>
          <w:szCs w:val="21"/>
        </w:rPr>
        <w:t>200口井牙买加中国园林等项目实例进行分析，可得1分。未结合材料但要点正确，</w:t>
      </w:r>
      <w:r>
        <w:rPr>
          <w:rFonts w:hint="eastAsia" w:ascii="宋体" w:hAnsi="宋体" w:eastAsia="宋体" w:cs="宋体"/>
          <w:sz w:val="21"/>
          <w:szCs w:val="21"/>
          <w:lang w:eastAsia="zh-CN"/>
        </w:rPr>
        <w:t>酌情</w:t>
      </w:r>
      <w:r>
        <w:rPr>
          <w:rFonts w:hint="eastAsia" w:ascii="宋体" w:hAnsi="宋体" w:eastAsia="宋体" w:cs="宋体"/>
          <w:sz w:val="21"/>
          <w:szCs w:val="21"/>
        </w:rPr>
        <w:t>扣分。</w:t>
      </w:r>
    </w:p>
    <w:p w14:paraId="65723A97">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sz w:val="21"/>
          <w:szCs w:val="21"/>
          <w:lang w:eastAsia="zh-CN"/>
        </w:rPr>
      </w:pPr>
      <w:r>
        <w:rPr>
          <w:rFonts w:hint="eastAsia" w:ascii="宋体" w:hAnsi="宋体" w:eastAsia="宋体" w:cs="宋体"/>
          <w:b/>
          <w:bCs/>
          <w:sz w:val="21"/>
          <w:szCs w:val="21"/>
          <w:highlight w:val="yellow"/>
          <w:lang w:eastAsia="zh-CN"/>
        </w:rPr>
        <w:t>存在问题：</w:t>
      </w:r>
      <w:r>
        <w:rPr>
          <w:rFonts w:hint="eastAsia" w:ascii="宋体" w:hAnsi="宋体" w:eastAsia="宋体" w:cs="宋体"/>
          <w:sz w:val="21"/>
          <w:szCs w:val="21"/>
          <w:lang w:eastAsia="zh-CN"/>
        </w:rPr>
        <w:t>就材料说材料，就知识说知识，不能很好的将知识和材料相结合；</w:t>
      </w:r>
    </w:p>
    <w:p w14:paraId="2BC5427E">
      <w:pPr>
        <w:keepNext w:val="0"/>
        <w:keepLines w:val="0"/>
        <w:pageBreakBefore w:val="0"/>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模块知识滥用混淆；逻辑混乱。</w:t>
      </w:r>
    </w:p>
    <w:p w14:paraId="5A099C4F">
      <w:pPr>
        <w:keepNext w:val="0"/>
        <w:keepLines w:val="0"/>
        <w:pageBreakBefore w:val="0"/>
        <w:numPr>
          <w:ilvl w:val="0"/>
          <w:numId w:val="0"/>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2433320" cy="1468755"/>
            <wp:effectExtent l="0" t="0" r="508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rcRect l="108" t="205" r="-108" b="-205"/>
                    <a:stretch>
                      <a:fillRect/>
                    </a:stretch>
                  </pic:blipFill>
                  <pic:spPr>
                    <a:xfrm>
                      <a:off x="0" y="0"/>
                      <a:ext cx="2433320" cy="1468755"/>
                    </a:xfrm>
                    <a:prstGeom prst="rect">
                      <a:avLst/>
                    </a:prstGeom>
                    <a:noFill/>
                    <a:ln>
                      <a:noFill/>
                    </a:ln>
                  </pic:spPr>
                </pic:pic>
              </a:graphicData>
            </a:graphic>
          </wp:inline>
        </w:drawing>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drawing>
          <wp:inline distT="0" distB="0" distL="114300" distR="114300">
            <wp:extent cx="2663190" cy="1578610"/>
            <wp:effectExtent l="0" t="0" r="3810" b="889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5"/>
                    <a:srcRect t="3557" r="2411"/>
                    <a:stretch>
                      <a:fillRect/>
                    </a:stretch>
                  </pic:blipFill>
                  <pic:spPr>
                    <a:xfrm>
                      <a:off x="0" y="0"/>
                      <a:ext cx="2663190" cy="1578610"/>
                    </a:xfrm>
                    <a:prstGeom prst="rect">
                      <a:avLst/>
                    </a:prstGeom>
                    <a:noFill/>
                    <a:ln>
                      <a:noFill/>
                    </a:ln>
                  </pic:spPr>
                </pic:pic>
              </a:graphicData>
            </a:graphic>
          </wp:inline>
        </w:drawing>
      </w:r>
    </w:p>
    <w:p w14:paraId="7771B976">
      <w:pPr>
        <w:keepNext w:val="0"/>
        <w:keepLines w:val="0"/>
        <w:pageBreakBefore w:val="0"/>
        <w:widowControl w:val="0"/>
        <w:numPr>
          <w:ilvl w:val="0"/>
          <w:numId w:val="0"/>
        </w:numPr>
        <w:suppressAutoHyphens/>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5273040" cy="224282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rcRect b="24385"/>
                    <a:stretch>
                      <a:fillRect/>
                    </a:stretch>
                  </pic:blipFill>
                  <pic:spPr>
                    <a:xfrm>
                      <a:off x="0" y="0"/>
                      <a:ext cx="5273040" cy="2242820"/>
                    </a:xfrm>
                    <a:prstGeom prst="rect">
                      <a:avLst/>
                    </a:prstGeom>
                    <a:noFill/>
                    <a:ln>
                      <a:noFill/>
                    </a:ln>
                  </pic:spPr>
                </pic:pic>
              </a:graphicData>
            </a:graphic>
          </wp:inline>
        </w:drawing>
      </w:r>
    </w:p>
    <w:p w14:paraId="08149131">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73040" cy="2966085"/>
            <wp:effectExtent l="0" t="0" r="1016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3040" cy="2966085"/>
                    </a:xfrm>
                    <a:prstGeom prst="rect">
                      <a:avLst/>
                    </a:prstGeom>
                    <a:noFill/>
                    <a:ln>
                      <a:noFill/>
                    </a:ln>
                  </pic:spPr>
                </pic:pic>
              </a:graphicData>
            </a:graphic>
          </wp:inline>
        </w:drawing>
      </w:r>
    </w:p>
    <w:p w14:paraId="58DCACA7">
      <w:pPr>
        <w:keepNext w:val="0"/>
        <w:keepLines w:val="0"/>
        <w:pageBreakBefore w:val="0"/>
        <w:numPr>
          <w:ilvl w:val="0"/>
          <w:numId w:val="5"/>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b/>
          <w:bCs/>
          <w:sz w:val="21"/>
          <w:szCs w:val="21"/>
          <w:highlight w:val="yellow"/>
          <w:lang w:eastAsia="zh-CN"/>
        </w:rPr>
      </w:pPr>
      <w:r>
        <w:rPr>
          <w:rFonts w:hint="eastAsia" w:ascii="宋体" w:hAnsi="宋体" w:eastAsia="宋体" w:cs="宋体"/>
          <w:b/>
          <w:bCs/>
          <w:sz w:val="21"/>
          <w:szCs w:val="21"/>
          <w:highlight w:val="yellow"/>
          <w:lang w:eastAsia="zh-CN"/>
        </w:rPr>
        <w:t>优秀卷：</w:t>
      </w:r>
    </w:p>
    <w:p w14:paraId="3B1610FC">
      <w:pPr>
        <w:keepNext w:val="0"/>
        <w:keepLines w:val="0"/>
        <w:pageBreakBefore w:val="0"/>
        <w:numPr>
          <w:ilvl w:val="0"/>
          <w:numId w:val="6"/>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按照“是什么-为什么-怎么办”三个角度展开论述；逻辑清晰</w:t>
      </w:r>
    </w:p>
    <w:p w14:paraId="096D503B">
      <w:pPr>
        <w:keepNext w:val="0"/>
        <w:keepLines w:val="0"/>
        <w:pageBreakBefore w:val="0"/>
        <w:numPr>
          <w:ilvl w:val="0"/>
          <w:numId w:val="6"/>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跨模块阐述，知识运用准确；</w:t>
      </w:r>
    </w:p>
    <w:p w14:paraId="5BA816D6">
      <w:pPr>
        <w:keepNext w:val="0"/>
        <w:keepLines w:val="0"/>
        <w:pageBreakBefore w:val="0"/>
        <w:numPr>
          <w:ilvl w:val="0"/>
          <w:numId w:val="6"/>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字迹好看，清晰端正</w:t>
      </w:r>
    </w:p>
    <w:p w14:paraId="3161ED5C">
      <w:pPr>
        <w:keepNext w:val="0"/>
        <w:keepLines w:val="0"/>
        <w:pageBreakBefore w:val="0"/>
        <w:numPr>
          <w:ilvl w:val="0"/>
          <w:numId w:val="0"/>
        </w:numPr>
        <w:kinsoku/>
        <w:wordWrap/>
        <w:overflowPunct/>
        <w:topLinePunct w:val="0"/>
        <w:autoSpaceDE/>
        <w:autoSpaceDN/>
        <w:bidi w:val="0"/>
        <w:adjustRightInd/>
        <w:snapToGrid/>
        <w:spacing w:line="300" w:lineRule="auto"/>
        <w:ind w:left="0" w:left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4177665" cy="2541905"/>
            <wp:effectExtent l="0" t="0" r="635" b="10795"/>
            <wp:docPr id="16" name="图片 16" descr="优秀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优秀1"/>
                    <pic:cNvPicPr>
                      <a:picLocks noChangeAspect="1"/>
                    </pic:cNvPicPr>
                  </pic:nvPicPr>
                  <pic:blipFill>
                    <a:blip r:embed="rId18"/>
                    <a:srcRect l="4135" t="3255" b="9624"/>
                    <a:stretch>
                      <a:fillRect/>
                    </a:stretch>
                  </pic:blipFill>
                  <pic:spPr>
                    <a:xfrm>
                      <a:off x="0" y="0"/>
                      <a:ext cx="4177665" cy="2541905"/>
                    </a:xfrm>
                    <a:prstGeom prst="rect">
                      <a:avLst/>
                    </a:prstGeom>
                  </pic:spPr>
                </pic:pic>
              </a:graphicData>
            </a:graphic>
          </wp:inline>
        </w:drawing>
      </w:r>
    </w:p>
    <w:p w14:paraId="3BFBF8F3">
      <w:pPr>
        <w:keepNext w:val="0"/>
        <w:keepLines w:val="0"/>
        <w:pageBreakBefore w:val="0"/>
        <w:numPr>
          <w:ilvl w:val="0"/>
          <w:numId w:val="7"/>
        </w:numPr>
        <w:kinsoku/>
        <w:wordWrap/>
        <w:overflowPunct/>
        <w:topLinePunct w:val="0"/>
        <w:autoSpaceDE/>
        <w:autoSpaceDN/>
        <w:bidi w:val="0"/>
        <w:adjustRightInd/>
        <w:snapToGrid/>
        <w:spacing w:line="300" w:lineRule="auto"/>
        <w:ind w:left="420" w:leftChars="0" w:hanging="420" w:firstLineChars="0"/>
        <w:jc w:val="both"/>
        <w:rPr>
          <w:rFonts w:hint="eastAsia" w:ascii="宋体" w:hAnsi="宋体" w:eastAsia="宋体" w:cs="宋体"/>
          <w:b/>
          <w:bCs/>
          <w:sz w:val="21"/>
          <w:szCs w:val="21"/>
          <w:highlight w:val="yellow"/>
          <w:lang w:val="en-US" w:eastAsia="zh-CN"/>
        </w:rPr>
      </w:pPr>
      <w:r>
        <w:rPr>
          <w:rFonts w:hint="eastAsia" w:ascii="宋体" w:hAnsi="宋体" w:eastAsia="宋体" w:cs="宋体"/>
          <w:b/>
          <w:bCs/>
          <w:sz w:val="21"/>
          <w:szCs w:val="21"/>
          <w:highlight w:val="yellow"/>
          <w:lang w:val="en-US" w:eastAsia="zh-CN"/>
        </w:rPr>
        <w:t>问题卷</w:t>
      </w:r>
    </w:p>
    <w:p w14:paraId="097FBACF">
      <w:pPr>
        <w:keepNext w:val="0"/>
        <w:keepLines w:val="0"/>
        <w:pageBreakBefore w:val="0"/>
        <w:numPr>
          <w:ilvl w:val="0"/>
          <w:numId w:val="8"/>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不能从多层次论述</w:t>
      </w:r>
    </w:p>
    <w:p w14:paraId="6BB18CF1">
      <w:pPr>
        <w:keepNext w:val="0"/>
        <w:keepLines w:val="0"/>
        <w:pageBreakBefore w:val="0"/>
        <w:numPr>
          <w:ilvl w:val="0"/>
          <w:numId w:val="8"/>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不能完整进行问题阐述，话说一半</w:t>
      </w:r>
    </w:p>
    <w:p w14:paraId="283EEAEB">
      <w:pPr>
        <w:keepNext w:val="0"/>
        <w:keepLines w:val="0"/>
        <w:pageBreakBefore w:val="0"/>
        <w:numPr>
          <w:ilvl w:val="0"/>
          <w:numId w:val="8"/>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罗列基础知识多、字迹较差</w:t>
      </w:r>
    </w:p>
    <w:p w14:paraId="2D7441B2">
      <w:pPr>
        <w:keepNext w:val="0"/>
        <w:keepLines w:val="0"/>
        <w:pageBreakBefore w:val="0"/>
        <w:numPr>
          <w:ilvl w:val="0"/>
          <w:numId w:val="8"/>
        </w:numPr>
        <w:kinsoku/>
        <w:wordWrap/>
        <w:overflowPunct/>
        <w:topLinePunct w:val="0"/>
        <w:autoSpaceDE/>
        <w:autoSpaceDN/>
        <w:bidi w:val="0"/>
        <w:adjustRightInd/>
        <w:snapToGrid/>
        <w:spacing w:line="300" w:lineRule="auto"/>
        <w:ind w:left="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部分空白卷</w:t>
      </w:r>
    </w:p>
    <w:p w14:paraId="2CB7AD4A">
      <w:pPr>
        <w:numPr>
          <w:ilvl w:val="0"/>
          <w:numId w:val="0"/>
        </w:numPr>
        <w:spacing w:line="360" w:lineRule="auto"/>
        <w:ind w:leftChars="0"/>
        <w:jc w:val="center"/>
        <w:rPr>
          <w:rFonts w:hint="default"/>
          <w:lang w:val="en-US" w:eastAsia="zh-CN"/>
        </w:rPr>
      </w:pPr>
      <w:r>
        <w:rPr>
          <w:rFonts w:hint="default"/>
          <w:lang w:val="en-US" w:eastAsia="zh-CN"/>
        </w:rPr>
        <w:drawing>
          <wp:inline distT="0" distB="0" distL="114300" distR="114300">
            <wp:extent cx="5265420" cy="2290445"/>
            <wp:effectExtent l="0" t="0" r="0" b="0"/>
            <wp:docPr id="18" name="图片 18" descr="字迹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字迹差"/>
                    <pic:cNvPicPr>
                      <a:picLocks noChangeAspect="1"/>
                    </pic:cNvPicPr>
                  </pic:nvPicPr>
                  <pic:blipFill>
                    <a:blip r:embed="rId19"/>
                    <a:srcRect t="9326"/>
                    <a:stretch>
                      <a:fillRect/>
                    </a:stretch>
                  </pic:blipFill>
                  <pic:spPr>
                    <a:xfrm>
                      <a:off x="0" y="0"/>
                      <a:ext cx="5265420" cy="2290445"/>
                    </a:xfrm>
                    <a:prstGeom prst="rect">
                      <a:avLst/>
                    </a:prstGeom>
                  </pic:spPr>
                </pic:pic>
              </a:graphicData>
            </a:graphic>
          </wp:inline>
        </w:drawing>
      </w:r>
    </w:p>
    <w:p w14:paraId="73D4F3DE">
      <w:pPr>
        <w:numPr>
          <w:ilvl w:val="0"/>
          <w:numId w:val="0"/>
        </w:numPr>
        <w:spacing w:line="360" w:lineRule="auto"/>
        <w:ind w:leftChars="0"/>
        <w:jc w:val="center"/>
        <w:rPr>
          <w:rFonts w:hint="default"/>
          <w:lang w:val="en-US" w:eastAsia="zh-CN"/>
        </w:rPr>
      </w:pPr>
      <w:r>
        <w:rPr>
          <w:rFonts w:hint="default"/>
          <w:lang w:val="en-US" w:eastAsia="zh-CN"/>
        </w:rPr>
        <w:drawing>
          <wp:inline distT="0" distB="0" distL="114300" distR="114300">
            <wp:extent cx="4331335" cy="2071370"/>
            <wp:effectExtent l="0" t="0" r="12065" b="11430"/>
            <wp:docPr id="20" name="图片 20" descr="罗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罗列"/>
                    <pic:cNvPicPr>
                      <a:picLocks noChangeAspect="1"/>
                    </pic:cNvPicPr>
                  </pic:nvPicPr>
                  <pic:blipFill>
                    <a:blip r:embed="rId20"/>
                    <a:stretch>
                      <a:fillRect/>
                    </a:stretch>
                  </pic:blipFill>
                  <pic:spPr>
                    <a:xfrm>
                      <a:off x="0" y="0"/>
                      <a:ext cx="4331335" cy="2071370"/>
                    </a:xfrm>
                    <a:prstGeom prst="rect">
                      <a:avLst/>
                    </a:prstGeom>
                  </pic:spPr>
                </pic:pic>
              </a:graphicData>
            </a:graphic>
          </wp:inline>
        </w:drawing>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D4F6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13984D">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M3tSfd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krohBFGgrRQ&#10;8ftvX++//7z/8QXBHgi0VWYCcbcKIu3uUu4guN83sOl47yrdun9ghMAP8t4d5GU7i6g7lA7SNAIX&#10;BV+/APzweFxpY18x2SJnZFhD/bysZLMwtgvtQ9xtQhYN576GXKBthoenZ5E/cPAAOBcuFrIAjL3V&#10;1ebTOBpfpVdpEiSD4VWQRHkezIp5EgyLeHSWn+bzeR5/dnhxMqmbsmTC3df3SZw8rw77XukqfOgU&#10;I3lTOjiXktGr5ZxrtCHQp4X/OYUh+Qdh4eM0vBtYPaEUD5LocjAOimE6CpIiOQvGoygNonh8OR5G&#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ze1J90CAAAmBgAADgAAAAAAAAABACAAAAAfAQAAZHJzL2Uyb0RvYy54bWxQSwUG&#10;AAAAAAYABgBZAQAAbgYAAAAA&#10;">
              <v:fill on="f" focussize="0,0"/>
              <v:stroke on="f" weight="0.5pt"/>
              <v:imagedata o:title=""/>
              <o:lock v:ext="edit" aspectratio="f"/>
              <v:textbox inset="0mm,0mm,0mm,0mm" style="mso-fit-shape-to-text:t;">
                <w:txbxContent>
                  <w:p w14:paraId="2213984D">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655048"/>
    <w:multiLevelType w:val="singleLevel"/>
    <w:tmpl w:val="FC655048"/>
    <w:lvl w:ilvl="0" w:tentative="0">
      <w:start w:val="19"/>
      <w:numFmt w:val="decimal"/>
      <w:lvlText w:val="%1."/>
      <w:lvlJc w:val="left"/>
      <w:pPr>
        <w:tabs>
          <w:tab w:val="left" w:pos="312"/>
        </w:tabs>
      </w:pPr>
    </w:lvl>
  </w:abstractNum>
  <w:abstractNum w:abstractNumId="1">
    <w:nsid w:val="FFA27A3C"/>
    <w:multiLevelType w:val="singleLevel"/>
    <w:tmpl w:val="FFA27A3C"/>
    <w:lvl w:ilvl="0" w:tentative="0">
      <w:start w:val="1"/>
      <w:numFmt w:val="decimal"/>
      <w:lvlText w:val="%1."/>
      <w:lvlJc w:val="left"/>
      <w:pPr>
        <w:tabs>
          <w:tab w:val="left" w:pos="312"/>
        </w:tabs>
      </w:pPr>
    </w:lvl>
  </w:abstractNum>
  <w:abstractNum w:abstractNumId="2">
    <w:nsid w:val="0B0B7559"/>
    <w:multiLevelType w:val="singleLevel"/>
    <w:tmpl w:val="0B0B7559"/>
    <w:lvl w:ilvl="0" w:tentative="0">
      <w:start w:val="1"/>
      <w:numFmt w:val="bullet"/>
      <w:lvlText w:val=""/>
      <w:lvlJc w:val="left"/>
      <w:pPr>
        <w:ind w:left="420" w:hanging="420"/>
      </w:pPr>
      <w:rPr>
        <w:rFonts w:hint="default" w:ascii="Wingdings" w:hAnsi="Wingdings"/>
      </w:rPr>
    </w:lvl>
  </w:abstractNum>
  <w:abstractNum w:abstractNumId="3">
    <w:nsid w:val="119FAC27"/>
    <w:multiLevelType w:val="singleLevel"/>
    <w:tmpl w:val="119FAC27"/>
    <w:lvl w:ilvl="0" w:tentative="0">
      <w:start w:val="1"/>
      <w:numFmt w:val="decimal"/>
      <w:lvlText w:val="%1."/>
      <w:lvlJc w:val="left"/>
      <w:pPr>
        <w:tabs>
          <w:tab w:val="left" w:pos="312"/>
        </w:tabs>
      </w:pPr>
    </w:lvl>
  </w:abstractNum>
  <w:abstractNum w:abstractNumId="4">
    <w:nsid w:val="1EF83E65"/>
    <w:multiLevelType w:val="singleLevel"/>
    <w:tmpl w:val="1EF83E65"/>
    <w:lvl w:ilvl="0" w:tentative="0">
      <w:start w:val="1"/>
      <w:numFmt w:val="bullet"/>
      <w:lvlText w:val=""/>
      <w:lvlJc w:val="left"/>
      <w:pPr>
        <w:ind w:left="420" w:hanging="420"/>
      </w:pPr>
      <w:rPr>
        <w:rFonts w:hint="default" w:ascii="Wingdings" w:hAnsi="Wingdings"/>
      </w:rPr>
    </w:lvl>
  </w:abstractNum>
  <w:abstractNum w:abstractNumId="5">
    <w:nsid w:val="4297D517"/>
    <w:multiLevelType w:val="singleLevel"/>
    <w:tmpl w:val="4297D517"/>
    <w:lvl w:ilvl="0" w:tentative="0">
      <w:start w:val="1"/>
      <w:numFmt w:val="bullet"/>
      <w:lvlText w:val=""/>
      <w:lvlJc w:val="left"/>
      <w:pPr>
        <w:ind w:left="420" w:hanging="420"/>
      </w:pPr>
      <w:rPr>
        <w:rFonts w:hint="default" w:ascii="Wingdings" w:hAnsi="Wingdings"/>
      </w:rPr>
    </w:lvl>
  </w:abstractNum>
  <w:abstractNum w:abstractNumId="6">
    <w:nsid w:val="4F0C1757"/>
    <w:multiLevelType w:val="singleLevel"/>
    <w:tmpl w:val="4F0C1757"/>
    <w:lvl w:ilvl="0" w:tentative="0">
      <w:start w:val="1"/>
      <w:numFmt w:val="bullet"/>
      <w:lvlText w:val=""/>
      <w:lvlJc w:val="left"/>
      <w:pPr>
        <w:ind w:left="420" w:hanging="420"/>
      </w:pPr>
      <w:rPr>
        <w:rFonts w:hint="default" w:ascii="Wingdings" w:hAnsi="Wingdings"/>
      </w:rPr>
    </w:lvl>
  </w:abstractNum>
  <w:abstractNum w:abstractNumId="7">
    <w:nsid w:val="5F03FB64"/>
    <w:multiLevelType w:val="singleLevel"/>
    <w:tmpl w:val="5F03FB64"/>
    <w:lvl w:ilvl="0" w:tentative="0">
      <w:start w:val="1"/>
      <w:numFmt w:val="bullet"/>
      <w:lvlText w:val=""/>
      <w:lvlJc w:val="left"/>
      <w:pPr>
        <w:ind w:left="420" w:hanging="420"/>
      </w:pPr>
      <w:rPr>
        <w:rFonts w:hint="default" w:ascii="Wingdings" w:hAnsi="Wingdings"/>
      </w:rPr>
    </w:lvl>
  </w:abstractNum>
  <w:num w:numId="1">
    <w:abstractNumId w:val="6"/>
  </w:num>
  <w:num w:numId="2">
    <w:abstractNumId w:val="4"/>
  </w:num>
  <w:num w:numId="3">
    <w:abstractNumId w:val="7"/>
  </w:num>
  <w:num w:numId="4">
    <w:abstractNumId w:val="0"/>
  </w:num>
  <w:num w:numId="5">
    <w:abstractNumId w:val="5"/>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9A1521"/>
    <w:rsid w:val="05653B93"/>
    <w:rsid w:val="088C5DAE"/>
    <w:rsid w:val="0A9A1521"/>
    <w:rsid w:val="48E32EAE"/>
    <w:rsid w:val="62DB05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List Paragraph"/>
    <w:basedOn w:val="1"/>
    <w:qFormat/>
    <w:uiPriority w:val="34"/>
    <w:pPr>
      <w:suppressAutoHyphens w:val="0"/>
      <w:ind w:left="720"/>
      <w:contextualSpacing/>
    </w:pPr>
    <w:rPr>
      <w:rFonts w:ascii="等线" w:hAnsi="等线" w:eastAsia="等线" w:cs="宋体"/>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3583</Words>
  <Characters>3663</Characters>
  <Lines>0</Lines>
  <Paragraphs>0</Paragraphs>
  <TotalTime>5</TotalTime>
  <ScaleCrop>false</ScaleCrop>
  <LinksUpToDate>false</LinksUpToDate>
  <CharactersWithSpaces>3777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2025-03-27T08:34:00Z</dcterms:created>
  <dc:creator>乐山乐水</dc:creator>
  <cp:lastModifiedBy>布朗熊</cp:lastModifiedBy>
  <dcterms:modified xsi:type="dcterms:W3CDTF">2025-03-28T11:10:16Z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72F96CB2835B4A90A1E5DFE68F10D25A_13</vt:lpwstr>
  </property>
  <property fmtid="{D5CDD505-2E9C-101B-9397-08002B2CF9AE}" pid="4" name="KSOTemplateDocerSaveRecord">
    <vt:lpwstr>eyJoZGlkIjoiY2ZhOGIyYjFlM2EzZjEwYmQxYjQwNmFhNjM4OGE3MmYiLCJ1c2VySWQiOiIyNTc5ODQ1MTcifQ==</vt:lpwstr>
  </property>
</Properties>
</file>