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4"/>
        <w:gridCol w:w="2172"/>
        <w:gridCol w:w="465"/>
        <w:gridCol w:w="2493"/>
        <w:gridCol w:w="2788"/>
      </w:tblGrid>
      <w:tr w14:paraId="4B5F8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5"/>
          </w:tcPr>
          <w:p w14:paraId="7753B99B">
            <w:pPr>
              <w:jc w:val="center"/>
            </w:pPr>
            <w:r>
              <w:rPr>
                <w:rFonts w:hint="eastAsia"/>
                <w:b/>
                <w:bCs/>
                <w:sz w:val="28"/>
                <w:szCs w:val="36"/>
              </w:rPr>
              <w:t>2025年3月高三二模阅卷评标</w:t>
            </w:r>
          </w:p>
        </w:tc>
      </w:tr>
      <w:tr w14:paraId="6772F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1" w:type="dxa"/>
            <w:gridSpan w:val="3"/>
          </w:tcPr>
          <w:p w14:paraId="0B8996C3">
            <w:pPr>
              <w:jc w:val="both"/>
            </w:pPr>
          </w:p>
        </w:tc>
        <w:tc>
          <w:tcPr>
            <w:tcW w:w="2493" w:type="dxa"/>
          </w:tcPr>
          <w:p w14:paraId="0757DC31">
            <w:pPr>
              <w:jc w:val="both"/>
            </w:pPr>
            <w:r>
              <w:rPr>
                <w:rFonts w:hint="eastAsia"/>
              </w:rPr>
              <w:t>最高分：9</w:t>
            </w:r>
          </w:p>
        </w:tc>
        <w:tc>
          <w:tcPr>
            <w:tcW w:w="2788" w:type="dxa"/>
          </w:tcPr>
          <w:p w14:paraId="5510683E">
            <w:pPr>
              <w:jc w:val="both"/>
            </w:pPr>
            <w:r>
              <w:rPr>
                <w:rFonts w:hint="eastAsia"/>
              </w:rPr>
              <w:t>均分：4</w:t>
            </w:r>
          </w:p>
        </w:tc>
      </w:tr>
      <w:tr w14:paraId="782B1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4" w:type="dxa"/>
          </w:tcPr>
          <w:p w14:paraId="431D5BFE">
            <w:pPr>
              <w:jc w:val="both"/>
            </w:pPr>
            <w:r>
              <w:rPr>
                <w:rFonts w:hint="eastAsia"/>
              </w:rPr>
              <w:t>题号+设问</w:t>
            </w:r>
          </w:p>
        </w:tc>
        <w:tc>
          <w:tcPr>
            <w:tcW w:w="7918" w:type="dxa"/>
            <w:gridSpan w:val="4"/>
          </w:tcPr>
          <w:p w14:paraId="7E99FB2C">
            <w:pPr>
              <w:widowControl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17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．（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 xml:space="preserve">9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分）</w:t>
            </w:r>
            <w:r>
              <w:rPr>
                <w:rFonts w:ascii="楷体_GB2312" w:hAnsi="楷体_GB2312" w:eastAsia="楷体_GB2312" w:cs="楷体_GB2312"/>
                <w:color w:val="000000"/>
                <w:kern w:val="0"/>
                <w:szCs w:val="21"/>
                <w:lang w:bidi="ar"/>
              </w:rPr>
              <w:t xml:space="preserve">建设法治政府，打造北京样本。 </w:t>
            </w:r>
          </w:p>
          <w:p w14:paraId="2D568C13">
            <w:pPr>
              <w:widowControl/>
              <w:ind w:firstLine="420" w:firstLineChars="200"/>
              <w:jc w:val="left"/>
            </w:pPr>
            <w:r>
              <w:rPr>
                <w:rFonts w:ascii="楷体_GB2312" w:hAnsi="楷体_GB2312" w:eastAsia="楷体_GB2312" w:cs="楷体_GB2312"/>
                <w:color w:val="000000"/>
                <w:kern w:val="0"/>
                <w:szCs w:val="21"/>
                <w:lang w:bidi="ar"/>
              </w:rPr>
              <w:t>北京市推动法治政府建设持续走在全国前列。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“</w:t>
            </w:r>
            <w:r>
              <w:rPr>
                <w:rFonts w:ascii="楷体_GB2312" w:hAnsi="楷体_GB2312" w:eastAsia="楷体_GB2312" w:cs="楷体_GB2312"/>
                <w:color w:val="000000"/>
                <w:kern w:val="0"/>
                <w:szCs w:val="21"/>
                <w:lang w:bidi="ar"/>
              </w:rPr>
              <w:t>十五五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”</w:t>
            </w:r>
            <w:r>
              <w:rPr>
                <w:rFonts w:ascii="楷体_GB2312" w:hAnsi="楷体_GB2312" w:eastAsia="楷体_GB2312" w:cs="楷体_GB2312"/>
                <w:color w:val="000000"/>
                <w:kern w:val="0"/>
                <w:szCs w:val="21"/>
                <w:lang w:bidi="ar"/>
              </w:rPr>
              <w:t xml:space="preserve">时期，北京市将努力实现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“</w:t>
            </w:r>
            <w:r>
              <w:rPr>
                <w:rFonts w:ascii="楷体_GB2312" w:hAnsi="楷体_GB2312" w:eastAsia="楷体_GB2312" w:cs="楷体_GB2312"/>
                <w:color w:val="000000"/>
                <w:kern w:val="0"/>
                <w:szCs w:val="21"/>
                <w:lang w:bidi="ar"/>
              </w:rPr>
              <w:t>法治政府建设要继续走在全国前列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”</w:t>
            </w:r>
            <w:r>
              <w:rPr>
                <w:rFonts w:ascii="楷体_GB2312" w:hAnsi="楷体_GB2312" w:eastAsia="楷体_GB2312" w:cs="楷体_GB2312"/>
                <w:color w:val="000000"/>
                <w:kern w:val="0"/>
                <w:szCs w:val="21"/>
                <w:lang w:bidi="ar"/>
              </w:rPr>
              <w:t>和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“</w:t>
            </w:r>
            <w:r>
              <w:rPr>
                <w:rFonts w:ascii="楷体_GB2312" w:hAnsi="楷体_GB2312" w:eastAsia="楷体_GB2312" w:cs="楷体_GB2312"/>
                <w:color w:val="000000"/>
                <w:kern w:val="0"/>
                <w:szCs w:val="21"/>
                <w:lang w:bidi="ar"/>
              </w:rPr>
              <w:t>率先全域建成全国法治政府示范区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”</w:t>
            </w:r>
            <w:r>
              <w:rPr>
                <w:rFonts w:ascii="楷体_GB2312" w:hAnsi="楷体_GB2312" w:eastAsia="楷体_GB2312" w:cs="楷体_GB2312"/>
                <w:color w:val="000000"/>
                <w:kern w:val="0"/>
                <w:szCs w:val="21"/>
                <w:lang w:bidi="ar"/>
              </w:rPr>
              <w:t xml:space="preserve">。 </w:t>
            </w:r>
          </w:p>
          <w:p w14:paraId="04065D25">
            <w:pPr>
              <w:widowControl/>
              <w:jc w:val="left"/>
            </w:pPr>
            <w:r>
              <w:rPr>
                <w:rFonts w:ascii="楷体_GB2312" w:hAnsi="楷体_GB2312" w:eastAsia="楷体_GB2312" w:cs="楷体_GB2312"/>
                <w:color w:val="000000"/>
                <w:kern w:val="0"/>
                <w:szCs w:val="21"/>
                <w:lang w:bidi="ar"/>
              </w:rPr>
              <w:t xml:space="preserve">以下是北京市 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 xml:space="preserve">2024 </w:t>
            </w:r>
            <w:r>
              <w:rPr>
                <w:rFonts w:ascii="楷体_GB2312" w:hAnsi="楷体_GB2312" w:eastAsia="楷体_GB2312" w:cs="楷体_GB2312"/>
                <w:color w:val="000000"/>
                <w:kern w:val="0"/>
                <w:szCs w:val="21"/>
                <w:lang w:bidi="ar"/>
              </w:rPr>
              <w:t xml:space="preserve">年法治政府建设年度情况报告节选。阅读资料，完成表格。 </w:t>
            </w:r>
          </w:p>
          <w:tbl>
            <w:tblPr>
              <w:tblStyle w:val="6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802"/>
              <w:gridCol w:w="3802"/>
            </w:tblGrid>
            <w:tr w14:paraId="778D523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802" w:type="dxa"/>
                  <w:vAlign w:val="center"/>
                </w:tcPr>
                <w:p w14:paraId="0ED652FE">
                  <w:pPr>
                    <w:widowControl/>
                    <w:jc w:val="center"/>
                  </w:pPr>
                  <w:r>
                    <w:rPr>
                      <w:rFonts w:ascii="黑体" w:hAnsi="宋体" w:eastAsia="黑体" w:cs="黑体"/>
                      <w:color w:val="000000"/>
                      <w:kern w:val="0"/>
                      <w:szCs w:val="21"/>
                      <w:lang w:bidi="ar"/>
                    </w:rPr>
                    <w:t>主要举措与成效</w:t>
                  </w:r>
                </w:p>
              </w:tc>
              <w:tc>
                <w:tcPr>
                  <w:tcW w:w="3802" w:type="dxa"/>
                  <w:vAlign w:val="center"/>
                </w:tcPr>
                <w:p w14:paraId="0A021F9A">
                  <w:pPr>
                    <w:widowControl/>
                    <w:jc w:val="center"/>
                    <w:rPr>
                      <w:rFonts w:hint="eastAsia" w:ascii="黑体" w:hAnsi="宋体" w:eastAsia="黑体" w:cs="黑体"/>
                      <w:color w:val="000000"/>
                      <w:kern w:val="0"/>
                      <w:szCs w:val="21"/>
                      <w:lang w:bidi="ar"/>
                    </w:rPr>
                  </w:pPr>
                  <w:r>
                    <w:rPr>
                      <w:rFonts w:hint="eastAsia" w:ascii="黑体" w:hAnsi="宋体" w:eastAsia="黑体" w:cs="黑体"/>
                      <w:color w:val="000000"/>
                      <w:kern w:val="0"/>
                      <w:szCs w:val="21"/>
                      <w:lang w:bidi="ar"/>
                    </w:rPr>
                    <w:t>全国示范意义</w:t>
                  </w:r>
                </w:p>
              </w:tc>
            </w:tr>
            <w:tr w14:paraId="57D98A2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539" w:hRule="atLeast"/>
              </w:trPr>
              <w:tc>
                <w:tcPr>
                  <w:tcW w:w="3802" w:type="dxa"/>
                  <w:vAlign w:val="center"/>
                </w:tcPr>
                <w:p w14:paraId="2728E5EB">
                  <w:pPr>
                    <w:widowControl/>
                    <w:jc w:val="left"/>
                  </w:pPr>
                  <w:r>
                    <w:rPr>
                      <w:rFonts w:ascii="楷体_GB2312" w:hAnsi="楷体_GB2312" w:eastAsia="楷体_GB2312" w:cs="楷体_GB2312"/>
                      <w:color w:val="000000"/>
                      <w:kern w:val="0"/>
                      <w:szCs w:val="21"/>
                      <w:lang w:bidi="ar"/>
                    </w:rPr>
                    <w:t>学习宣传贯彻习近平法治思想走深走</w:t>
                  </w:r>
                </w:p>
                <w:p w14:paraId="29A34CB2">
                  <w:pPr>
                    <w:widowControl/>
                    <w:jc w:val="left"/>
                  </w:pPr>
                  <w:r>
                    <w:rPr>
                      <w:rFonts w:ascii="楷体_GB2312" w:hAnsi="楷体_GB2312" w:eastAsia="楷体_GB2312" w:cs="楷体_GB2312"/>
                      <w:color w:val="000000"/>
                      <w:kern w:val="0"/>
                      <w:szCs w:val="21"/>
                      <w:lang w:bidi="ar"/>
                    </w:rPr>
                    <w:t>实，各级党委和政府组织专题学习，把学习研究成果转化为法治政府建设的生动实践。</w:t>
                  </w:r>
                </w:p>
              </w:tc>
              <w:tc>
                <w:tcPr>
                  <w:tcW w:w="3802" w:type="dxa"/>
                  <w:vAlign w:val="center"/>
                </w:tcPr>
                <w:p w14:paraId="3489E069">
                  <w:pPr>
                    <w:widowControl/>
                    <w:jc w:val="left"/>
                    <w:rPr>
                      <w:rFonts w:hint="eastAsia" w:ascii="黑体" w:hAnsi="宋体" w:eastAsia="黑体" w:cs="黑体"/>
                      <w:color w:val="000000"/>
                      <w:kern w:val="0"/>
                      <w:szCs w:val="21"/>
                      <w:lang w:bidi="ar"/>
                    </w:rPr>
                  </w:pPr>
                  <w:r>
                    <w:rPr>
                      <w:rFonts w:ascii="楷体_GB2312" w:hAnsi="楷体_GB2312" w:eastAsia="楷体_GB2312" w:cs="楷体_GB2312"/>
                      <w:color w:val="000000"/>
                      <w:kern w:val="0"/>
                      <w:szCs w:val="21"/>
                      <w:lang w:bidi="ar"/>
                    </w:rPr>
                    <w:t>示例：中国共产党的领导是最高领导力量，是中国特色社会主义最本质特征，建设法治政府必须坚持党的领导，用习近平新时代中国特色社会主义思想凝心铸魂。</w:t>
                  </w:r>
                </w:p>
              </w:tc>
            </w:tr>
            <w:tr w14:paraId="4841A35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802" w:type="dxa"/>
                  <w:vAlign w:val="center"/>
                </w:tcPr>
                <w:p w14:paraId="01FD90B9">
                  <w:pPr>
                    <w:widowControl/>
                    <w:jc w:val="left"/>
                  </w:pPr>
                  <w:r>
                    <w:rPr>
                      <w:rFonts w:ascii="楷体_GB2312" w:hAnsi="楷体_GB2312" w:eastAsia="楷体_GB2312" w:cs="楷体_GB2312"/>
                      <w:color w:val="000000"/>
                      <w:kern w:val="0"/>
                      <w:szCs w:val="21"/>
                      <w:lang w:bidi="ar"/>
                    </w:rPr>
                    <w:t>北京市政府制定实施年度立法工作计</w:t>
                  </w:r>
                </w:p>
                <w:p w14:paraId="1319D988">
                  <w:pPr>
                    <w:widowControl/>
                    <w:jc w:val="left"/>
                    <w:rPr>
                      <w:rFonts w:hint="eastAsia"/>
                    </w:rPr>
                  </w:pPr>
                  <w:r>
                    <w:rPr>
                      <w:rFonts w:ascii="楷体_GB2312" w:hAnsi="楷体_GB2312" w:eastAsia="楷体_GB2312" w:cs="楷体_GB2312"/>
                      <w:color w:val="000000"/>
                      <w:kern w:val="0"/>
                      <w:szCs w:val="21"/>
                      <w:lang w:bidi="ar"/>
                    </w:rPr>
                    <w:t xml:space="preserve">划，提请市人大及其常委会审议地方性法规草案 </w:t>
                  </w:r>
                  <w:r>
                    <w:rPr>
                      <w:rFonts w:ascii="Times New Roman" w:hAnsi="Times New Roman" w:eastAsia="宋体" w:cs="Times New Roman"/>
                      <w:color w:val="000000"/>
                      <w:kern w:val="0"/>
                      <w:szCs w:val="21"/>
                      <w:lang w:bidi="ar"/>
                    </w:rPr>
                    <w:t xml:space="preserve">7 </w:t>
                  </w:r>
                  <w:r>
                    <w:rPr>
                      <w:rFonts w:ascii="楷体_GB2312" w:hAnsi="楷体_GB2312" w:eastAsia="楷体_GB2312" w:cs="楷体_GB2312"/>
                      <w:color w:val="000000"/>
                      <w:kern w:val="0"/>
                      <w:szCs w:val="21"/>
                      <w:lang w:bidi="ar"/>
                    </w:rPr>
                    <w:t xml:space="preserve">部，出台政府规章 </w:t>
                  </w:r>
                  <w:r>
                    <w:rPr>
                      <w:rFonts w:ascii="Times New Roman" w:hAnsi="Times New Roman" w:eastAsia="宋体" w:cs="Times New Roman"/>
                      <w:color w:val="000000"/>
                      <w:kern w:val="0"/>
                      <w:szCs w:val="21"/>
                      <w:lang w:bidi="ar"/>
                    </w:rPr>
                    <w:t xml:space="preserve">2 </w:t>
                  </w:r>
                  <w:r>
                    <w:rPr>
                      <w:rFonts w:ascii="楷体_GB2312" w:hAnsi="楷体_GB2312" w:eastAsia="楷体_GB2312" w:cs="楷体_GB2312"/>
                      <w:color w:val="000000"/>
                      <w:kern w:val="0"/>
                      <w:szCs w:val="21"/>
                      <w:lang w:bidi="ar"/>
                    </w:rPr>
                    <w:t>部，对</w:t>
                  </w:r>
                  <w:r>
                    <w:rPr>
                      <w:rFonts w:ascii="Times New Roman" w:hAnsi="Times New Roman" w:eastAsia="宋体" w:cs="Times New Roman"/>
                      <w:color w:val="000000"/>
                      <w:kern w:val="0"/>
                      <w:szCs w:val="21"/>
                      <w:lang w:bidi="ar"/>
                    </w:rPr>
                    <w:t xml:space="preserve">153 </w:t>
                  </w:r>
                  <w:r>
                    <w:rPr>
                      <w:rFonts w:ascii="楷体_GB2312" w:hAnsi="楷体_GB2312" w:eastAsia="楷体_GB2312" w:cs="楷体_GB2312"/>
                      <w:color w:val="000000"/>
                      <w:kern w:val="0"/>
                      <w:szCs w:val="21"/>
                      <w:lang w:bidi="ar"/>
                    </w:rPr>
                    <w:t>部政府规章开展立法后评估，并与河北省、天津市共同研究推进规章后评估地方立法。</w:t>
                  </w:r>
                </w:p>
              </w:tc>
              <w:tc>
                <w:tcPr>
                  <w:tcW w:w="3802" w:type="dxa"/>
                  <w:vAlign w:val="center"/>
                </w:tcPr>
                <w:p w14:paraId="59981268">
                  <w:pPr>
                    <w:widowControl/>
                    <w:jc w:val="center"/>
                  </w:pPr>
                  <w:r>
                    <w:rPr>
                      <w:rFonts w:hint="eastAsia" w:ascii="宋体" w:hAnsi="宋体" w:eastAsia="宋体" w:cs="宋体"/>
                      <w:color w:val="000000"/>
                      <w:kern w:val="0"/>
                      <w:szCs w:val="21"/>
                      <w:lang w:bidi="ar"/>
                    </w:rPr>
                    <w:t>①</w:t>
                  </w:r>
                </w:p>
                <w:p w14:paraId="4D645323">
                  <w:pPr>
                    <w:widowControl/>
                    <w:jc w:val="left"/>
                    <w:rPr>
                      <w:rFonts w:hint="eastAsia" w:ascii="黑体" w:hAnsi="宋体" w:eastAsia="黑体" w:cs="黑体"/>
                      <w:color w:val="000000"/>
                      <w:kern w:val="0"/>
                      <w:szCs w:val="21"/>
                      <w:lang w:bidi="ar"/>
                    </w:rPr>
                  </w:pPr>
                </w:p>
              </w:tc>
            </w:tr>
            <w:tr w14:paraId="1513D84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802" w:type="dxa"/>
                  <w:vAlign w:val="center"/>
                </w:tcPr>
                <w:p w14:paraId="164F315C">
                  <w:pPr>
                    <w:widowControl/>
                    <w:jc w:val="left"/>
                  </w:pPr>
                  <w:r>
                    <w:rPr>
                      <w:rFonts w:ascii="楷体_GB2312" w:hAnsi="楷体_GB2312" w:eastAsia="楷体_GB2312" w:cs="楷体_GB2312"/>
                      <w:color w:val="000000"/>
                      <w:kern w:val="0"/>
                      <w:szCs w:val="21"/>
                      <w:lang w:bidi="ar"/>
                    </w:rPr>
                    <w:t>出台北京市行政执法监督办法，完善行政执法监督工作体系。全面落实行政裁量权基准和</w:t>
                  </w:r>
                  <w:r>
                    <w:rPr>
                      <w:rFonts w:hint="eastAsia" w:ascii="宋体" w:hAnsi="宋体" w:eastAsia="宋体" w:cs="宋体"/>
                      <w:color w:val="000000"/>
                      <w:kern w:val="0"/>
                      <w:szCs w:val="21"/>
                      <w:lang w:bidi="ar"/>
                    </w:rPr>
                    <w:t>“</w:t>
                  </w:r>
                  <w:r>
                    <w:rPr>
                      <w:rFonts w:ascii="楷体_GB2312" w:hAnsi="楷体_GB2312" w:eastAsia="楷体_GB2312" w:cs="楷体_GB2312"/>
                      <w:color w:val="000000"/>
                      <w:kern w:val="0"/>
                      <w:szCs w:val="21"/>
                      <w:lang w:bidi="ar"/>
                    </w:rPr>
                    <w:t>轻微免罚</w:t>
                  </w:r>
                  <w:r>
                    <w:rPr>
                      <w:rFonts w:hint="eastAsia" w:ascii="宋体" w:hAnsi="宋体" w:eastAsia="宋体" w:cs="宋体"/>
                      <w:color w:val="000000"/>
                      <w:kern w:val="0"/>
                      <w:szCs w:val="21"/>
                      <w:lang w:bidi="ar"/>
                    </w:rPr>
                    <w:t>”“</w:t>
                  </w:r>
                  <w:r>
                    <w:rPr>
                      <w:rFonts w:ascii="楷体_GB2312" w:hAnsi="楷体_GB2312" w:eastAsia="楷体_GB2312" w:cs="楷体_GB2312"/>
                      <w:color w:val="000000"/>
                      <w:kern w:val="0"/>
                      <w:szCs w:val="21"/>
                      <w:lang w:bidi="ar"/>
                    </w:rPr>
                    <w:t>初违慎罚</w:t>
                  </w:r>
                  <w:r>
                    <w:rPr>
                      <w:rFonts w:hint="eastAsia" w:ascii="宋体" w:hAnsi="宋体" w:eastAsia="宋体" w:cs="宋体"/>
                      <w:color w:val="000000"/>
                      <w:kern w:val="0"/>
                      <w:szCs w:val="21"/>
                      <w:lang w:bidi="ar"/>
                    </w:rPr>
                    <w:t>”</w:t>
                  </w:r>
                  <w:r>
                    <w:rPr>
                      <w:rFonts w:ascii="楷体_GB2312" w:hAnsi="楷体_GB2312" w:eastAsia="楷体_GB2312" w:cs="楷体_GB2312"/>
                      <w:color w:val="000000"/>
                      <w:kern w:val="0"/>
                      <w:szCs w:val="21"/>
                      <w:lang w:bidi="ar"/>
                    </w:rPr>
                    <w:t>等改革措施，</w:t>
                  </w:r>
                  <w:r>
                    <w:rPr>
                      <w:rFonts w:ascii="Times New Roman" w:hAnsi="Times New Roman" w:eastAsia="宋体" w:cs="Times New Roman"/>
                      <w:color w:val="000000"/>
                      <w:kern w:val="0"/>
                      <w:szCs w:val="21"/>
                      <w:lang w:bidi="ar"/>
                    </w:rPr>
                    <w:t xml:space="preserve">29 </w:t>
                  </w:r>
                  <w:r>
                    <w:rPr>
                      <w:rFonts w:ascii="楷体_GB2312" w:hAnsi="楷体_GB2312" w:eastAsia="楷体_GB2312" w:cs="楷体_GB2312"/>
                      <w:color w:val="000000"/>
                      <w:kern w:val="0"/>
                      <w:szCs w:val="21"/>
                      <w:lang w:bidi="ar"/>
                    </w:rPr>
                    <w:t xml:space="preserve">个市级政府部门制定公布不予处罚事项清单，全市各级执法机关作出不予处罚案件 </w:t>
                  </w:r>
                  <w:r>
                    <w:rPr>
                      <w:rFonts w:ascii="Times New Roman" w:hAnsi="Times New Roman" w:eastAsia="宋体" w:cs="Times New Roman"/>
                      <w:color w:val="000000"/>
                      <w:kern w:val="0"/>
                      <w:szCs w:val="21"/>
                      <w:lang w:bidi="ar"/>
                    </w:rPr>
                    <w:t xml:space="preserve">7.2 </w:t>
                  </w:r>
                  <w:r>
                    <w:rPr>
                      <w:rFonts w:ascii="楷体_GB2312" w:hAnsi="楷体_GB2312" w:eastAsia="楷体_GB2312" w:cs="楷体_GB2312"/>
                      <w:color w:val="000000"/>
                      <w:kern w:val="0"/>
                      <w:szCs w:val="21"/>
                      <w:lang w:bidi="ar"/>
                    </w:rPr>
                    <w:t>万件，同比增长</w:t>
                  </w:r>
                  <w:r>
                    <w:rPr>
                      <w:rFonts w:ascii="Times New Roman" w:hAnsi="Times New Roman" w:eastAsia="宋体" w:cs="Times New Roman"/>
                      <w:color w:val="000000"/>
                      <w:kern w:val="0"/>
                      <w:szCs w:val="21"/>
                      <w:lang w:bidi="ar"/>
                    </w:rPr>
                    <w:t>60%</w:t>
                  </w:r>
                  <w:r>
                    <w:rPr>
                      <w:rFonts w:ascii="楷体_GB2312" w:hAnsi="楷体_GB2312" w:eastAsia="楷体_GB2312" w:cs="楷体_GB2312"/>
                      <w:color w:val="000000"/>
                      <w:kern w:val="0"/>
                      <w:szCs w:val="21"/>
                      <w:lang w:bidi="ar"/>
                    </w:rPr>
                    <w:t>。</w:t>
                  </w:r>
                </w:p>
              </w:tc>
              <w:tc>
                <w:tcPr>
                  <w:tcW w:w="3802" w:type="dxa"/>
                  <w:vAlign w:val="center"/>
                </w:tcPr>
                <w:p w14:paraId="6942C61C">
                  <w:pPr>
                    <w:widowControl/>
                    <w:jc w:val="center"/>
                    <w:rPr>
                      <w:rFonts w:hint="eastAsia" w:ascii="黑体" w:hAnsi="宋体" w:eastAsia="黑体" w:cs="黑体"/>
                      <w:color w:val="000000"/>
                      <w:kern w:val="0"/>
                      <w:szCs w:val="21"/>
                      <w:lang w:bidi="ar"/>
                    </w:rPr>
                  </w:pPr>
                  <w:r>
                    <w:rPr>
                      <w:rFonts w:hint="eastAsia" w:ascii="宋体" w:hAnsi="宋体" w:eastAsia="宋体" w:cs="宋体"/>
                      <w:color w:val="000000"/>
                      <w:kern w:val="0"/>
                      <w:szCs w:val="21"/>
                      <w:lang w:bidi="ar"/>
                    </w:rPr>
                    <w:t>②</w:t>
                  </w:r>
                </w:p>
              </w:tc>
            </w:tr>
            <w:tr w14:paraId="3B3E9E7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802" w:type="dxa"/>
                  <w:vAlign w:val="center"/>
                </w:tcPr>
                <w:p w14:paraId="2AA7BCF2">
                  <w:pPr>
                    <w:widowControl/>
                    <w:jc w:val="left"/>
                  </w:pPr>
                  <w:r>
                    <w:rPr>
                      <w:rFonts w:ascii="楷体_GB2312" w:hAnsi="楷体_GB2312" w:eastAsia="楷体_GB2312" w:cs="楷体_GB2312"/>
                      <w:color w:val="000000"/>
                      <w:kern w:val="0"/>
                      <w:szCs w:val="21"/>
                      <w:lang w:bidi="ar"/>
                    </w:rPr>
                    <w:t>加快推动</w:t>
                  </w:r>
                  <w:r>
                    <w:rPr>
                      <w:rFonts w:hint="eastAsia" w:ascii="宋体" w:hAnsi="宋体" w:eastAsia="宋体" w:cs="宋体"/>
                      <w:color w:val="000000"/>
                      <w:kern w:val="0"/>
                      <w:szCs w:val="21"/>
                      <w:lang w:bidi="ar"/>
                    </w:rPr>
                    <w:t>“</w:t>
                  </w:r>
                  <w:r>
                    <w:rPr>
                      <w:rFonts w:ascii="楷体_GB2312" w:hAnsi="楷体_GB2312" w:eastAsia="楷体_GB2312" w:cs="楷体_GB2312"/>
                      <w:color w:val="000000"/>
                      <w:kern w:val="0"/>
                      <w:szCs w:val="21"/>
                      <w:lang w:bidi="ar"/>
                    </w:rPr>
                    <w:t>数据</w:t>
                  </w:r>
                  <w:r>
                    <w:rPr>
                      <w:rFonts w:ascii="Times New Roman" w:hAnsi="Times New Roman" w:eastAsia="宋体" w:cs="Times New Roman"/>
                      <w:color w:val="000000"/>
                      <w:kern w:val="0"/>
                      <w:szCs w:val="21"/>
                      <w:lang w:bidi="ar"/>
                    </w:rPr>
                    <w:t>+</w:t>
                  </w:r>
                  <w:r>
                    <w:rPr>
                      <w:rFonts w:hint="eastAsia" w:ascii="宋体" w:hAnsi="宋体" w:eastAsia="宋体" w:cs="宋体"/>
                      <w:color w:val="000000"/>
                      <w:kern w:val="0"/>
                      <w:szCs w:val="21"/>
                      <w:lang w:bidi="ar"/>
                    </w:rPr>
                    <w:t>”</w:t>
                  </w:r>
                  <w:r>
                    <w:rPr>
                      <w:rFonts w:ascii="楷体_GB2312" w:hAnsi="楷体_GB2312" w:eastAsia="楷体_GB2312" w:cs="楷体_GB2312"/>
                      <w:color w:val="000000"/>
                      <w:kern w:val="0"/>
                      <w:szCs w:val="21"/>
                      <w:lang w:bidi="ar"/>
                    </w:rPr>
                    <w:t>监管能力建设，全市</w:t>
                  </w:r>
                  <w:r>
                    <w:rPr>
                      <w:rFonts w:ascii="Times New Roman" w:hAnsi="Times New Roman" w:eastAsia="宋体" w:cs="Times New Roman"/>
                      <w:color w:val="000000"/>
                      <w:kern w:val="0"/>
                      <w:szCs w:val="21"/>
                      <w:lang w:bidi="ar"/>
                    </w:rPr>
                    <w:t xml:space="preserve">27 </w:t>
                  </w:r>
                  <w:r>
                    <w:rPr>
                      <w:rFonts w:ascii="楷体_GB2312" w:hAnsi="楷体_GB2312" w:eastAsia="楷体_GB2312" w:cs="楷体_GB2312"/>
                      <w:color w:val="000000"/>
                      <w:kern w:val="0"/>
                      <w:szCs w:val="21"/>
                      <w:lang w:bidi="ar"/>
                    </w:rPr>
                    <w:t xml:space="preserve">个部门实现 </w:t>
                  </w:r>
                  <w:r>
                    <w:rPr>
                      <w:rFonts w:ascii="Times New Roman" w:hAnsi="Times New Roman" w:eastAsia="宋体" w:cs="Times New Roman"/>
                      <w:color w:val="000000"/>
                      <w:kern w:val="0"/>
                      <w:szCs w:val="21"/>
                      <w:lang w:bidi="ar"/>
                    </w:rPr>
                    <w:t xml:space="preserve">846 </w:t>
                  </w:r>
                  <w:r>
                    <w:rPr>
                      <w:rFonts w:ascii="楷体_GB2312" w:hAnsi="楷体_GB2312" w:eastAsia="楷体_GB2312" w:cs="楷体_GB2312"/>
                      <w:color w:val="000000"/>
                      <w:kern w:val="0"/>
                      <w:szCs w:val="21"/>
                      <w:lang w:bidi="ar"/>
                    </w:rPr>
                    <w:t>项跨部门数据共享。</w:t>
                  </w:r>
                  <w:r>
                    <w:rPr>
                      <w:rFonts w:hint="eastAsia" w:ascii="宋体" w:hAnsi="宋体" w:eastAsia="宋体" w:cs="宋体"/>
                      <w:color w:val="000000"/>
                      <w:kern w:val="0"/>
                      <w:szCs w:val="21"/>
                      <w:lang w:bidi="ar"/>
                    </w:rPr>
                    <w:t>“</w:t>
                  </w:r>
                  <w:r>
                    <w:rPr>
                      <w:rFonts w:ascii="楷体_GB2312" w:hAnsi="楷体_GB2312" w:eastAsia="楷体_GB2312" w:cs="楷体_GB2312"/>
                      <w:color w:val="000000"/>
                      <w:kern w:val="0"/>
                      <w:szCs w:val="21"/>
                      <w:lang w:bidi="ar"/>
                    </w:rPr>
                    <w:t>京策</w:t>
                  </w:r>
                  <w:r>
                    <w:rPr>
                      <w:rFonts w:hint="eastAsia" w:ascii="宋体" w:hAnsi="宋体" w:eastAsia="宋体" w:cs="宋体"/>
                      <w:color w:val="000000"/>
                      <w:kern w:val="0"/>
                      <w:szCs w:val="21"/>
                      <w:lang w:bidi="ar"/>
                    </w:rPr>
                    <w:t>”</w:t>
                  </w:r>
                  <w:r>
                    <w:rPr>
                      <w:rFonts w:ascii="楷体_GB2312" w:hAnsi="楷体_GB2312" w:eastAsia="楷体_GB2312" w:cs="楷体_GB2312"/>
                      <w:color w:val="000000"/>
                      <w:kern w:val="0"/>
                      <w:szCs w:val="21"/>
                      <w:lang w:bidi="ar"/>
                    </w:rPr>
                    <w:t xml:space="preserve">平台上线 </w:t>
                  </w:r>
                  <w:r>
                    <w:rPr>
                      <w:rFonts w:ascii="Times New Roman" w:hAnsi="Times New Roman" w:eastAsia="宋体" w:cs="Times New Roman"/>
                      <w:color w:val="000000"/>
                      <w:kern w:val="0"/>
                      <w:szCs w:val="21"/>
                      <w:lang w:bidi="ar"/>
                    </w:rPr>
                    <w:t xml:space="preserve">773 </w:t>
                  </w:r>
                  <w:r>
                    <w:rPr>
                      <w:rFonts w:ascii="楷体_GB2312" w:hAnsi="楷体_GB2312" w:eastAsia="楷体_GB2312" w:cs="楷体_GB2312"/>
                      <w:color w:val="000000"/>
                      <w:kern w:val="0"/>
                      <w:szCs w:val="21"/>
                      <w:lang w:bidi="ar"/>
                    </w:rPr>
                    <w:t xml:space="preserve">个惠企政策兑现事项，政策精准推送 </w:t>
                  </w:r>
                  <w:r>
                    <w:rPr>
                      <w:rFonts w:ascii="Times New Roman" w:hAnsi="Times New Roman" w:eastAsia="宋体" w:cs="Times New Roman"/>
                      <w:color w:val="000000"/>
                      <w:kern w:val="0"/>
                      <w:szCs w:val="21"/>
                      <w:lang w:bidi="ar"/>
                    </w:rPr>
                    <w:t xml:space="preserve">174 </w:t>
                  </w:r>
                  <w:r>
                    <w:rPr>
                      <w:rFonts w:ascii="楷体_GB2312" w:hAnsi="楷体_GB2312" w:eastAsia="楷体_GB2312" w:cs="楷体_GB2312"/>
                      <w:color w:val="000000"/>
                      <w:kern w:val="0"/>
                      <w:szCs w:val="21"/>
                      <w:lang w:bidi="ar"/>
                    </w:rPr>
                    <w:t>万家企业</w:t>
                  </w:r>
                  <w:r>
                    <w:rPr>
                      <w:rFonts w:hint="eastAsia" w:ascii="楷体_GB2312" w:hAnsi="楷体_GB2312" w:eastAsia="楷体_GB2312" w:cs="楷体_GB2312"/>
                      <w:color w:val="000000"/>
                      <w:kern w:val="0"/>
                      <w:szCs w:val="21"/>
                      <w:lang w:bidi="ar"/>
                    </w:rPr>
                    <w:t>。</w:t>
                  </w:r>
                </w:p>
              </w:tc>
              <w:tc>
                <w:tcPr>
                  <w:tcW w:w="3802" w:type="dxa"/>
                  <w:vAlign w:val="center"/>
                </w:tcPr>
                <w:p w14:paraId="5B860342">
                  <w:pPr>
                    <w:widowControl/>
                    <w:jc w:val="center"/>
                  </w:pPr>
                  <w:r>
                    <w:rPr>
                      <w:rFonts w:hint="eastAsia" w:ascii="宋体" w:hAnsi="宋体" w:eastAsia="宋体" w:cs="宋体"/>
                      <w:color w:val="000000"/>
                      <w:kern w:val="0"/>
                      <w:szCs w:val="21"/>
                      <w:lang w:bidi="ar"/>
                    </w:rPr>
                    <w:t>③</w:t>
                  </w:r>
                </w:p>
                <w:p w14:paraId="38804EBC">
                  <w:pPr>
                    <w:widowControl/>
                    <w:jc w:val="left"/>
                    <w:rPr>
                      <w:rFonts w:hint="eastAsia" w:ascii="黑体" w:hAnsi="宋体" w:eastAsia="黑体" w:cs="黑体"/>
                      <w:color w:val="000000"/>
                      <w:kern w:val="0"/>
                      <w:szCs w:val="21"/>
                      <w:lang w:bidi="ar"/>
                    </w:rPr>
                  </w:pPr>
                </w:p>
              </w:tc>
            </w:tr>
          </w:tbl>
          <w:p w14:paraId="3E12C8F8">
            <w:pPr>
              <w:jc w:val="left"/>
            </w:pPr>
          </w:p>
        </w:tc>
      </w:tr>
      <w:tr w14:paraId="6BD9A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4" w:type="dxa"/>
          </w:tcPr>
          <w:p w14:paraId="5675D33D">
            <w:pPr>
              <w:jc w:val="both"/>
            </w:pPr>
            <w:r>
              <w:rPr>
                <w:rFonts w:hint="eastAsia"/>
              </w:rPr>
              <w:t>试题立意与考查方向解读</w:t>
            </w:r>
          </w:p>
        </w:tc>
        <w:tc>
          <w:tcPr>
            <w:tcW w:w="7918" w:type="dxa"/>
            <w:gridSpan w:val="4"/>
          </w:tcPr>
          <w:p w14:paraId="27F78EF2">
            <w:pPr>
              <w:ind w:firstLine="420" w:firstLineChars="200"/>
              <w:jc w:val="both"/>
            </w:pPr>
            <w:r>
              <w:rPr>
                <w:rFonts w:hint="eastAsia"/>
              </w:rPr>
              <w:t>本题以北京市在“十五五“时期，努力实现“法治政府建设要继续走在全国前列”和“率先全域形成全国法治政府示范区”为背景，节选北京市2024年法治政府建设年度情况报告的主要举措与成效，分析北京市法治政府建设对于全国的示范意义。考查学生分析理解分析问题和系统阐述知识的能力。</w:t>
            </w:r>
          </w:p>
          <w:p w14:paraId="3DB1B3D0">
            <w:pPr>
              <w:ind w:firstLine="420" w:firstLineChars="200"/>
              <w:jc w:val="both"/>
            </w:pPr>
            <w:r>
              <w:rPr>
                <w:rFonts w:hint="eastAsia"/>
              </w:rPr>
              <w:t>学生需要调用法治政府的有关知识，结合材料提供的有效信息，有逻辑和结构的分析作答。</w:t>
            </w:r>
          </w:p>
        </w:tc>
      </w:tr>
      <w:tr w14:paraId="33501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5"/>
          </w:tcPr>
          <w:p w14:paraId="2C53ADA8">
            <w:pPr>
              <w:jc w:val="both"/>
            </w:pPr>
          </w:p>
          <w:p w14:paraId="575CEFD4">
            <w:pPr>
              <w:jc w:val="both"/>
            </w:pPr>
            <w:r>
              <w:rPr>
                <w:rFonts w:hint="eastAsia"/>
              </w:rPr>
              <w:t xml:space="preserve">17.(9分) </w:t>
            </w:r>
          </w:p>
          <w:p w14:paraId="0277F3C6">
            <w:pPr>
              <w:jc w:val="both"/>
            </w:pPr>
            <w:r>
              <w:rPr>
                <w:rFonts w:hint="eastAsia"/>
              </w:rPr>
              <w:t>答案示例：</w:t>
            </w:r>
          </w:p>
          <w:p w14:paraId="6F5444B8">
            <w:pPr>
              <w:ind w:firstLine="525" w:firstLineChars="250"/>
              <w:jc w:val="both"/>
            </w:pPr>
            <w:r>
              <w:rPr>
                <w:rFonts w:hint="eastAsia"/>
              </w:rPr>
              <w:t>①政府健全相应的法律法规，完善政府规章，推进区域联合立法，自觉接受人大监督，有利于政府依法行政，运用法治思维和法治方式履行职责。</w:t>
            </w:r>
          </w:p>
          <w:p w14:paraId="7F38893A">
            <w:pPr>
              <w:ind w:firstLine="525" w:firstLineChars="250"/>
              <w:jc w:val="both"/>
            </w:pPr>
            <w:r>
              <w:rPr>
                <w:rFonts w:hint="eastAsia"/>
              </w:rPr>
              <w:t>②法治政府要权责法定、执法严明，要严格规范、公正、文明执法，规范执法自由裁量权，有利于政府更好地行使权力，积极履行职责。</w:t>
            </w:r>
          </w:p>
          <w:p w14:paraId="76FBC647">
            <w:pPr>
              <w:ind w:firstLine="525" w:firstLineChars="250"/>
              <w:jc w:val="both"/>
            </w:pPr>
            <w:r>
              <w:rPr>
                <w:rFonts w:hint="eastAsia"/>
              </w:rPr>
              <w:t>③政府要运用互联网、大数据等技术手段赋能政府治理，有利于建设公开公正、智能高效、人民满意的政府。</w:t>
            </w:r>
          </w:p>
        </w:tc>
      </w:tr>
      <w:tr w14:paraId="70B13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5"/>
          </w:tcPr>
          <w:p w14:paraId="34536251">
            <w:pPr>
              <w:jc w:val="both"/>
            </w:pPr>
            <w:r>
              <w:rPr>
                <w:rFonts w:hint="eastAsia"/>
              </w:rPr>
              <w:t>评分标准说明：</w:t>
            </w:r>
          </w:p>
          <w:p w14:paraId="2DCD4228">
            <w:pPr>
              <w:jc w:val="both"/>
            </w:pPr>
            <w:r>
              <w:rPr>
                <w:rFonts w:hint="eastAsia"/>
              </w:rPr>
              <w:t>①政府健全相应的法律法规，完善政府规章（1分），推进区域联合立法，自觉接受人大监督，（1分）有利于政府依法行政，运用法治思维和法治方式履行职责。/政府推动科学立法，有法可依/确保行政权在法治框架内运行。（1分）</w:t>
            </w:r>
          </w:p>
          <w:p w14:paraId="086F8F87">
            <w:pPr>
              <w:jc w:val="both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②法治政府要权责法定（1分）、执法严明，要严格规范、公正、文明执法（1分），规范执法自由裁量权，有利于政府更好地行使权力（1分），积极履行职责。</w:t>
            </w:r>
            <w:r>
              <w:rPr>
                <w:rFonts w:hint="eastAsia"/>
                <w:lang w:val="en-US" w:eastAsia="zh-CN"/>
              </w:rPr>
              <w:t>/温度执法。</w:t>
            </w:r>
          </w:p>
          <w:p w14:paraId="7A800BFA">
            <w:pPr>
              <w:jc w:val="both"/>
            </w:pPr>
            <w:r>
              <w:rPr>
                <w:rFonts w:hint="eastAsia"/>
              </w:rPr>
              <w:t>③政府要运用互联网、大数据等技术手段赋能政府治理（1分），有利于建设公开公正、智能高效（2分）、人民满意的政府。</w:t>
            </w:r>
          </w:p>
          <w:p w14:paraId="1BB8C2FF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总体原则：</w:t>
            </w:r>
          </w:p>
          <w:p w14:paraId="27E0FAF6">
            <w:pPr>
              <w:numPr>
                <w:ilvl w:val="0"/>
                <w:numId w:val="1"/>
              </w:numPr>
              <w:jc w:val="both"/>
              <w:rPr>
                <w:rFonts w:hint="eastAsia"/>
              </w:rPr>
            </w:pPr>
            <w:r>
              <w:rPr>
                <w:rFonts w:hint="eastAsia"/>
              </w:rPr>
              <w:t>对应相关措施进行准确表述，逻辑严谨、论述清晰，每点视情况则给2-3分。</w:t>
            </w:r>
          </w:p>
          <w:p w14:paraId="60537290">
            <w:pPr>
              <w:numPr>
                <w:ilvl w:val="0"/>
                <w:numId w:val="1"/>
              </w:numPr>
              <w:jc w:val="both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作答本题全国示范意义：举措+意义。</w:t>
            </w:r>
          </w:p>
        </w:tc>
      </w:tr>
      <w:tr w14:paraId="3C44A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6" w:type="dxa"/>
            <w:gridSpan w:val="2"/>
          </w:tcPr>
          <w:p w14:paraId="5280B3E9">
            <w:pPr>
              <w:jc w:val="both"/>
            </w:pPr>
            <w:r>
              <w:rPr>
                <w:rFonts w:hint="eastAsia"/>
              </w:rPr>
              <w:t>学生优点：</w:t>
            </w:r>
          </w:p>
          <w:p w14:paraId="381501C3">
            <w:pPr>
              <w:jc w:val="both"/>
            </w:pPr>
            <w:r>
              <w:rPr>
                <w:rFonts w:hint="eastAsia"/>
              </w:rPr>
              <w:t>1.大部分同学都能够围绕政府作答。</w:t>
            </w:r>
          </w:p>
          <w:p w14:paraId="571C3FF8">
            <w:pPr>
              <w:jc w:val="both"/>
            </w:pPr>
            <w:r>
              <w:rPr>
                <w:rFonts w:hint="eastAsia"/>
              </w:rPr>
              <w:t>2.学生总体能用连贯的话语表述，思维链条已慢慢养成。</w:t>
            </w:r>
          </w:p>
          <w:p w14:paraId="3CA3B2D7">
            <w:pPr>
              <w:jc w:val="both"/>
            </w:pPr>
            <w:r>
              <w:rPr>
                <w:rFonts w:hint="eastAsia"/>
              </w:rPr>
              <w:t>3.优秀的同学论证的逻辑非常清楚。</w:t>
            </w:r>
          </w:p>
        </w:tc>
        <w:tc>
          <w:tcPr>
            <w:tcW w:w="5746" w:type="dxa"/>
            <w:gridSpan w:val="3"/>
            <w:vMerge w:val="restart"/>
          </w:tcPr>
          <w:p w14:paraId="01573A3B">
            <w:pPr>
              <w:jc w:val="both"/>
            </w:pPr>
            <w:r>
              <w:rPr>
                <w:rFonts w:hint="eastAsia"/>
              </w:rPr>
              <w:t>教学建议：</w:t>
            </w:r>
          </w:p>
          <w:p w14:paraId="58863480">
            <w:pPr>
              <w:jc w:val="both"/>
            </w:pPr>
            <w:r>
              <w:rPr>
                <w:rFonts w:hint="eastAsia"/>
              </w:rPr>
              <w:t>1.对于材料性题目，要引导学生针对性地回应问题。</w:t>
            </w:r>
          </w:p>
          <w:p w14:paraId="03CCD5A7">
            <w:pPr>
              <w:jc w:val="both"/>
            </w:pPr>
            <w:r>
              <w:rPr>
                <w:rFonts w:hint="eastAsia"/>
              </w:rPr>
              <w:t>2.利用本题目查缺补漏，与法治政府相关的知识点和题目都可以此为基础进行巩固强化。</w:t>
            </w:r>
          </w:p>
          <w:p w14:paraId="7AA5EC54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3.此题知识性错误较多，可带领学生纠正。</w:t>
            </w:r>
          </w:p>
          <w:p w14:paraId="5246A054">
            <w:pPr>
              <w:jc w:val="both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4.政治与法治要注意主体。</w:t>
            </w:r>
          </w:p>
        </w:tc>
      </w:tr>
      <w:tr w14:paraId="71C40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6" w:type="dxa"/>
            <w:gridSpan w:val="2"/>
          </w:tcPr>
          <w:p w14:paraId="197FD4E1">
            <w:pPr>
              <w:jc w:val="both"/>
            </w:pPr>
            <w:r>
              <w:rPr>
                <w:rFonts w:hint="eastAsia"/>
              </w:rPr>
              <w:t>学生问题：</w:t>
            </w:r>
          </w:p>
          <w:p w14:paraId="753E5BA9">
            <w:pPr>
              <w:pStyle w:val="8"/>
              <w:numPr>
                <w:ilvl w:val="0"/>
                <w:numId w:val="2"/>
              </w:numPr>
              <w:ind w:firstLineChars="0"/>
              <w:jc w:val="both"/>
            </w:pPr>
            <w:r>
              <w:rPr>
                <w:rFonts w:hint="eastAsia"/>
              </w:rPr>
              <w:t>学生未能紧扣法治政府答题，出现答偏的现象，或忘记法治政府的内涵表达。</w:t>
            </w:r>
          </w:p>
          <w:p w14:paraId="4051BA15">
            <w:pPr>
              <w:pStyle w:val="8"/>
              <w:numPr>
                <w:ilvl w:val="0"/>
                <w:numId w:val="2"/>
              </w:numPr>
              <w:ind w:firstLineChars="0"/>
              <w:jc w:val="both"/>
            </w:pPr>
            <w:r>
              <w:rPr>
                <w:rFonts w:hint="eastAsia"/>
              </w:rPr>
              <w:t>学生的表达未能紧扣北京市的主要举措和成效展开示范意义的论述。</w:t>
            </w:r>
          </w:p>
          <w:p w14:paraId="60B15F9E">
            <w:pPr>
              <w:pStyle w:val="8"/>
              <w:numPr>
                <w:ilvl w:val="0"/>
                <w:numId w:val="2"/>
              </w:numPr>
              <w:ind w:firstLineChars="0"/>
              <w:jc w:val="both"/>
            </w:pPr>
            <w:r>
              <w:rPr>
                <w:rFonts w:hint="eastAsia"/>
              </w:rPr>
              <w:t>对于所记忆知识没有充分理解，概念性错误频出。</w:t>
            </w:r>
          </w:p>
        </w:tc>
        <w:tc>
          <w:tcPr>
            <w:tcW w:w="5746" w:type="dxa"/>
            <w:gridSpan w:val="3"/>
            <w:vMerge w:val="continue"/>
          </w:tcPr>
          <w:p w14:paraId="2D97428B">
            <w:pPr>
              <w:jc w:val="both"/>
            </w:pPr>
          </w:p>
        </w:tc>
      </w:tr>
      <w:tr w14:paraId="4A67D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4" w:type="dxa"/>
          </w:tcPr>
          <w:p w14:paraId="59712EE5">
            <w:pPr>
              <w:jc w:val="both"/>
            </w:pPr>
            <w:r>
              <w:rPr>
                <w:rFonts w:hint="eastAsia"/>
              </w:rPr>
              <w:t>优秀答卷：</w:t>
            </w:r>
          </w:p>
          <w:p w14:paraId="1E1B39B8">
            <w:pPr>
              <w:jc w:val="both"/>
            </w:pPr>
          </w:p>
        </w:tc>
        <w:tc>
          <w:tcPr>
            <w:tcW w:w="7918" w:type="dxa"/>
            <w:gridSpan w:val="4"/>
          </w:tcPr>
          <w:p w14:paraId="5111780F">
            <w:pPr>
              <w:jc w:val="both"/>
            </w:pPr>
            <w:r>
              <w:rPr>
                <w:rFonts w:hint="eastAsia"/>
              </w:rPr>
              <w:drawing>
                <wp:inline distT="0" distB="0" distL="0" distR="0">
                  <wp:extent cx="5274310" cy="3501390"/>
                  <wp:effectExtent l="0" t="0" r="2540" b="3810"/>
                  <wp:docPr id="149684638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6846385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501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B101F1">
            <w:pPr>
              <w:jc w:val="both"/>
            </w:pPr>
            <w:r>
              <w:drawing>
                <wp:inline distT="0" distB="0" distL="0" distR="0">
                  <wp:extent cx="4886325" cy="3176270"/>
                  <wp:effectExtent l="0" t="0" r="0" b="5080"/>
                  <wp:docPr id="102114960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1149604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6733" cy="31963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3F133C2">
            <w:pPr>
              <w:pStyle w:val="8"/>
              <w:numPr>
                <w:ilvl w:val="0"/>
                <w:numId w:val="3"/>
              </w:numPr>
              <w:ind w:firstLineChars="0"/>
              <w:jc w:val="both"/>
            </w:pPr>
            <w:r>
              <w:rPr>
                <w:rFonts w:hint="eastAsia"/>
              </w:rPr>
              <w:t>紧扣题目，观点明确，论述合理，逻辑通顺。</w:t>
            </w:r>
          </w:p>
          <w:p w14:paraId="6A8562A5">
            <w:pPr>
              <w:pStyle w:val="8"/>
              <w:numPr>
                <w:ilvl w:val="0"/>
                <w:numId w:val="3"/>
              </w:numPr>
              <w:ind w:firstLineChars="0"/>
              <w:jc w:val="both"/>
            </w:pPr>
            <w:r>
              <w:rPr>
                <w:rFonts w:hint="eastAsia"/>
              </w:rPr>
              <w:t>对本题能够进行系统性思考。</w:t>
            </w:r>
          </w:p>
          <w:p w14:paraId="7B04AEF5">
            <w:pPr>
              <w:pStyle w:val="8"/>
              <w:numPr>
                <w:ilvl w:val="0"/>
                <w:numId w:val="3"/>
              </w:numPr>
              <w:ind w:firstLineChars="0"/>
              <w:jc w:val="both"/>
            </w:pPr>
            <w:r>
              <w:rPr>
                <w:rFonts w:hint="eastAsia"/>
              </w:rPr>
              <w:t>字迹清晰，书写准确。</w:t>
            </w:r>
          </w:p>
        </w:tc>
      </w:tr>
      <w:tr w14:paraId="3FF6A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4" w:type="dxa"/>
          </w:tcPr>
          <w:p w14:paraId="030D58D4">
            <w:pPr>
              <w:jc w:val="both"/>
            </w:pPr>
            <w:r>
              <w:rPr>
                <w:rFonts w:hint="eastAsia"/>
              </w:rPr>
              <w:t>典型错卷：</w:t>
            </w:r>
          </w:p>
        </w:tc>
        <w:tc>
          <w:tcPr>
            <w:tcW w:w="7918" w:type="dxa"/>
            <w:gridSpan w:val="4"/>
          </w:tcPr>
          <w:p w14:paraId="348CC156">
            <w:pPr>
              <w:jc w:val="both"/>
            </w:pPr>
          </w:p>
          <w:p w14:paraId="6297E760">
            <w:pPr>
              <w:jc w:val="both"/>
            </w:pPr>
          </w:p>
          <w:p w14:paraId="4EDE29B9">
            <w:pPr>
              <w:jc w:val="both"/>
            </w:pPr>
          </w:p>
          <w:p w14:paraId="6E7BE37A">
            <w:pPr>
              <w:jc w:val="both"/>
            </w:pPr>
          </w:p>
          <w:p w14:paraId="27BCC677">
            <w:pPr>
              <w:jc w:val="both"/>
            </w:pPr>
          </w:p>
          <w:p w14:paraId="24E3E9C2">
            <w:pPr>
              <w:jc w:val="both"/>
            </w:pPr>
          </w:p>
          <w:p w14:paraId="65BBB0D0">
            <w:pPr>
              <w:jc w:val="both"/>
            </w:pPr>
          </w:p>
          <w:p w14:paraId="76D81B9E">
            <w:pPr>
              <w:jc w:val="both"/>
            </w:pPr>
            <w:r>
              <w:rPr>
                <w:rFonts w:hint="eastAsia"/>
              </w:rPr>
              <w:t>第一种情况：部分观点，未针对材料进行针对性地回应问题。</w:t>
            </w:r>
          </w:p>
          <w:p w14:paraId="1EF61E1D">
            <w:pPr>
              <w:jc w:val="both"/>
            </w:pPr>
            <w:r>
              <w:drawing>
                <wp:inline distT="0" distB="0" distL="0" distR="0">
                  <wp:extent cx="5273675" cy="3499485"/>
                  <wp:effectExtent l="0" t="0" r="3175" b="5715"/>
                  <wp:docPr id="2112709829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2709829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675" cy="34994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E2AB990">
            <w:pPr>
              <w:jc w:val="both"/>
            </w:pPr>
            <w:r>
              <w:rPr>
                <w:rFonts w:hint="eastAsia"/>
              </w:rPr>
              <w:drawing>
                <wp:inline distT="0" distB="0" distL="0" distR="0">
                  <wp:extent cx="5274310" cy="3472815"/>
                  <wp:effectExtent l="0" t="0" r="2540" b="0"/>
                  <wp:docPr id="1726613907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6613907" name="图片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472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963828">
            <w:pPr>
              <w:jc w:val="both"/>
            </w:pPr>
          </w:p>
          <w:p w14:paraId="36911B11">
            <w:pPr>
              <w:jc w:val="both"/>
            </w:pPr>
          </w:p>
          <w:p w14:paraId="46D96CBF">
            <w:pPr>
              <w:jc w:val="both"/>
            </w:pPr>
          </w:p>
          <w:p w14:paraId="5FA007E4">
            <w:pPr>
              <w:jc w:val="both"/>
            </w:pPr>
          </w:p>
          <w:p w14:paraId="4AF6EE17">
            <w:pPr>
              <w:jc w:val="both"/>
            </w:pPr>
          </w:p>
          <w:p w14:paraId="7E19A031">
            <w:pPr>
              <w:jc w:val="both"/>
            </w:pPr>
          </w:p>
          <w:p w14:paraId="3071D77B">
            <w:pPr>
              <w:jc w:val="both"/>
            </w:pPr>
          </w:p>
          <w:p w14:paraId="130A77A9">
            <w:pPr>
              <w:jc w:val="both"/>
            </w:pPr>
            <w:r>
              <w:rPr>
                <w:rFonts w:hint="eastAsia"/>
              </w:rPr>
              <w:t>第二种情况：答偏，或罗列自身已知知识点类型。</w:t>
            </w:r>
          </w:p>
          <w:p w14:paraId="70D7FC7F">
            <w:pPr>
              <w:jc w:val="both"/>
            </w:pPr>
            <w:r>
              <w:rPr>
                <w:rFonts w:hint="eastAsia"/>
              </w:rPr>
              <w:drawing>
                <wp:inline distT="0" distB="0" distL="0" distR="0">
                  <wp:extent cx="5274310" cy="3481070"/>
                  <wp:effectExtent l="0" t="0" r="2540" b="5080"/>
                  <wp:docPr id="1851936445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1936445" name="图片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481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3CCFD9">
            <w:pPr>
              <w:jc w:val="both"/>
            </w:pPr>
          </w:p>
          <w:p w14:paraId="5703F921">
            <w:pPr>
              <w:jc w:val="both"/>
            </w:pPr>
            <w:r>
              <w:rPr>
                <w:rFonts w:hint="eastAsia"/>
              </w:rPr>
              <w:drawing>
                <wp:inline distT="0" distB="0" distL="0" distR="0">
                  <wp:extent cx="5274310" cy="3472815"/>
                  <wp:effectExtent l="0" t="0" r="2540" b="0"/>
                  <wp:docPr id="488312987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8312987" name="图片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472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494C52">
            <w:pPr>
              <w:jc w:val="left"/>
            </w:pPr>
          </w:p>
          <w:p w14:paraId="61096B2D">
            <w:pPr>
              <w:jc w:val="both"/>
            </w:pPr>
          </w:p>
          <w:p w14:paraId="082AED34">
            <w:pPr>
              <w:jc w:val="both"/>
            </w:pPr>
          </w:p>
          <w:p w14:paraId="0DBEE1F4">
            <w:pPr>
              <w:jc w:val="both"/>
            </w:pPr>
          </w:p>
          <w:p w14:paraId="4DACE9E9">
            <w:pPr>
              <w:jc w:val="both"/>
            </w:pPr>
          </w:p>
          <w:p w14:paraId="6CF07DA9">
            <w:pPr>
              <w:jc w:val="both"/>
            </w:pPr>
          </w:p>
          <w:p w14:paraId="2E02DFDF">
            <w:pPr>
              <w:jc w:val="both"/>
            </w:pPr>
            <w:r>
              <w:rPr>
                <w:rFonts w:hint="eastAsia"/>
              </w:rPr>
              <w:t>第三种情况 ：知识性错误或理解性错误。（以下情况为错误示例）</w:t>
            </w:r>
          </w:p>
          <w:p w14:paraId="41CA2308">
            <w:pPr>
              <w:jc w:val="both"/>
            </w:pPr>
            <w:r>
              <w:rPr>
                <w:rFonts w:hint="eastAsia"/>
              </w:rPr>
              <w:t>如 1.政府发挥总揽全局、协调各方的作用。</w:t>
            </w:r>
          </w:p>
          <w:p w14:paraId="6B5C056A">
            <w:pPr>
              <w:jc w:val="both"/>
            </w:pPr>
            <w:r>
              <w:rPr>
                <w:rFonts w:hint="eastAsia"/>
              </w:rPr>
              <w:t xml:space="preserve">   2.人民代表大会/全国人民代表大会是我国的政权组织形式。</w:t>
            </w:r>
          </w:p>
          <w:p w14:paraId="027B8A91">
            <w:pPr>
              <w:ind w:firstLine="315" w:firstLineChars="150"/>
              <w:jc w:val="both"/>
            </w:pPr>
            <w:r>
              <w:rPr>
                <w:rFonts w:hint="eastAsia"/>
              </w:rPr>
              <w:t>3.政府执政等/行政、执政、司法等概念混乱。</w:t>
            </w:r>
          </w:p>
          <w:p w14:paraId="69C01E91">
            <w:pPr>
              <w:ind w:firstLine="315" w:firstLineChars="150"/>
              <w:jc w:val="both"/>
            </w:pPr>
            <w:r>
              <w:rPr>
                <w:rFonts w:hint="eastAsia"/>
              </w:rPr>
              <w:t>4.人民代表大会制度是我国的根本社会制度。</w:t>
            </w:r>
          </w:p>
          <w:p w14:paraId="3077F424">
            <w:pPr>
              <w:ind w:firstLine="315" w:firstLineChars="150"/>
              <w:jc w:val="both"/>
            </w:pPr>
            <w:r>
              <w:rPr>
                <w:rFonts w:hint="eastAsia"/>
              </w:rPr>
              <w:t>如图：</w:t>
            </w:r>
          </w:p>
          <w:p w14:paraId="165B6D3C">
            <w:pPr>
              <w:jc w:val="both"/>
            </w:pPr>
            <w:r>
              <w:rPr>
                <w:rFonts w:hint="eastAsia"/>
              </w:rPr>
              <w:drawing>
                <wp:inline distT="0" distB="0" distL="0" distR="0">
                  <wp:extent cx="5274310" cy="3509010"/>
                  <wp:effectExtent l="0" t="0" r="2540" b="0"/>
                  <wp:docPr id="114726331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7263314" name="图片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509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3F3490">
            <w:pPr>
              <w:jc w:val="both"/>
            </w:pPr>
            <w:r>
              <w:rPr>
                <w:rFonts w:hint="eastAsia"/>
              </w:rPr>
              <w:drawing>
                <wp:inline distT="0" distB="0" distL="0" distR="0">
                  <wp:extent cx="5274310" cy="3463925"/>
                  <wp:effectExtent l="0" t="0" r="2540" b="3175"/>
                  <wp:docPr id="923618581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3618581" name="图片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46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5BB4FA">
            <w:pPr>
              <w:jc w:val="both"/>
            </w:pPr>
            <w:r>
              <w:rPr>
                <w:rFonts w:hint="eastAsia"/>
              </w:rPr>
              <w:drawing>
                <wp:inline distT="0" distB="0" distL="0" distR="0">
                  <wp:extent cx="5274310" cy="3481070"/>
                  <wp:effectExtent l="0" t="0" r="2540" b="5080"/>
                  <wp:docPr id="1409146214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9146214" name="图片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481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A25407">
            <w:pPr>
              <w:jc w:val="both"/>
            </w:pPr>
          </w:p>
        </w:tc>
      </w:tr>
      <w:tr w14:paraId="6BA63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4" w:type="dxa"/>
          </w:tcPr>
          <w:p w14:paraId="69552936">
            <w:pPr>
              <w:jc w:val="both"/>
            </w:pPr>
            <w:r>
              <w:rPr>
                <w:rFonts w:hint="eastAsia"/>
              </w:rPr>
              <w:t>针对性复练习题：</w:t>
            </w:r>
          </w:p>
        </w:tc>
        <w:tc>
          <w:tcPr>
            <w:tcW w:w="7918" w:type="dxa"/>
            <w:gridSpan w:val="4"/>
          </w:tcPr>
          <w:p w14:paraId="3BD602F2">
            <w:pPr>
              <w:jc w:val="both"/>
            </w:pPr>
            <w:r>
              <w:rPr>
                <w:rFonts w:hint="eastAsia"/>
              </w:rPr>
              <w:t>1、具体案例的应用：</w:t>
            </w:r>
          </w:p>
          <w:p w14:paraId="61F180B2">
            <w:pPr>
              <w:jc w:val="both"/>
            </w:pPr>
            <w:r>
              <w:rPr>
                <w:rFonts w:hint="eastAsia"/>
              </w:rPr>
              <w:t>2024年北京高考题：</w:t>
            </w:r>
          </w:p>
          <w:p w14:paraId="05915882">
            <w:pPr>
              <w:jc w:val="both"/>
            </w:pPr>
            <w:r>
              <w:drawing>
                <wp:inline distT="0" distB="0" distL="0" distR="0">
                  <wp:extent cx="5274310" cy="2545080"/>
                  <wp:effectExtent l="0" t="0" r="2540" b="7620"/>
                  <wp:docPr id="1513244561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3244561" name="图片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545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12BF93">
            <w:pPr>
              <w:jc w:val="both"/>
            </w:pPr>
            <w:r>
              <w:drawing>
                <wp:inline distT="0" distB="0" distL="0" distR="0">
                  <wp:extent cx="5274310" cy="1533525"/>
                  <wp:effectExtent l="0" t="0" r="2540" b="9525"/>
                  <wp:docPr id="1135273443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5273443" name="图片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533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521B86">
            <w:pPr>
              <w:jc w:val="both"/>
            </w:pPr>
          </w:p>
          <w:p w14:paraId="14C88B60">
            <w:pPr>
              <w:jc w:val="both"/>
            </w:pPr>
          </w:p>
          <w:p w14:paraId="37210F2B">
            <w:pPr>
              <w:jc w:val="both"/>
            </w:pPr>
            <w:r>
              <w:rPr>
                <w:rFonts w:hint="eastAsia"/>
              </w:rPr>
              <w:t>2、2025年3月海淀一模：</w:t>
            </w:r>
          </w:p>
          <w:p w14:paraId="7D56983E">
            <w:pPr>
              <w:jc w:val="both"/>
            </w:pPr>
            <w:r>
              <w:drawing>
                <wp:inline distT="0" distB="0" distL="0" distR="0">
                  <wp:extent cx="5274310" cy="2911475"/>
                  <wp:effectExtent l="0" t="0" r="2540" b="3175"/>
                  <wp:docPr id="989521241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9521241" name="图片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11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34A052">
            <w:pPr>
              <w:jc w:val="both"/>
            </w:pPr>
            <w:r>
              <w:rPr>
                <w:rFonts w:hint="eastAsia"/>
              </w:rPr>
              <w:t>坚持党的领导，杭州市委发挥总揽全局、协调各方的作用，为企业创新发展提供方向指引。</w:t>
            </w:r>
          </w:p>
          <w:p w14:paraId="60DE5297">
            <w:pPr>
              <w:jc w:val="both"/>
            </w:pPr>
            <w:r>
              <w:rPr>
                <w:rFonts w:hint="eastAsia"/>
              </w:rPr>
              <w:t>政府积极践行为人民服务的宗旨，通过“双聘制”“人才码”等创新管理和服务方式，建设职能科学、智能高效、人民满意的法治政府。</w:t>
            </w:r>
          </w:p>
          <w:p w14:paraId="526249AE">
            <w:pPr>
              <w:jc w:val="both"/>
            </w:pPr>
            <w:r>
              <w:rPr>
                <w:rFonts w:hint="eastAsia"/>
              </w:rPr>
              <w:t>积极打造多方参与的社会治理格局，推动社区与企业共商共建，形成高效协同的创新生态，夯实创新社会基础。</w:t>
            </w:r>
          </w:p>
        </w:tc>
      </w:tr>
    </w:tbl>
    <w:p w14:paraId="4D17FD4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FC64F0"/>
    <w:multiLevelType w:val="multilevel"/>
    <w:tmpl w:val="00FC64F0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09F93BDB"/>
    <w:multiLevelType w:val="multilevel"/>
    <w:tmpl w:val="09F93BDB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59FAA83F"/>
    <w:multiLevelType w:val="singleLevel"/>
    <w:tmpl w:val="59FAA83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WJmYmVhMGQ2YWQwOTc0ZDFkYmVkZTE0NzFkNThlYzIifQ=="/>
    <w:docVar w:name="KSO_WPS_MARK_KEY" w:val="8ba77828-fb47-4c78-bc6c-f06c3375b419"/>
  </w:docVars>
  <w:rsids>
    <w:rsidRoot w:val="00475D8A"/>
    <w:rsid w:val="0001467B"/>
    <w:rsid w:val="00051E30"/>
    <w:rsid w:val="00094C87"/>
    <w:rsid w:val="000E20B8"/>
    <w:rsid w:val="000E23E7"/>
    <w:rsid w:val="000F6C5E"/>
    <w:rsid w:val="001408E6"/>
    <w:rsid w:val="001610A5"/>
    <w:rsid w:val="00167288"/>
    <w:rsid w:val="00176A8A"/>
    <w:rsid w:val="001B5663"/>
    <w:rsid w:val="00235B88"/>
    <w:rsid w:val="002416BF"/>
    <w:rsid w:val="00251D03"/>
    <w:rsid w:val="00260BDA"/>
    <w:rsid w:val="00273F28"/>
    <w:rsid w:val="002C2AFE"/>
    <w:rsid w:val="002D251C"/>
    <w:rsid w:val="00303CFE"/>
    <w:rsid w:val="0030607E"/>
    <w:rsid w:val="00311A84"/>
    <w:rsid w:val="003614AF"/>
    <w:rsid w:val="00361B36"/>
    <w:rsid w:val="00380E8C"/>
    <w:rsid w:val="00387DFA"/>
    <w:rsid w:val="00397046"/>
    <w:rsid w:val="003A377C"/>
    <w:rsid w:val="003D3309"/>
    <w:rsid w:val="00410717"/>
    <w:rsid w:val="004132D5"/>
    <w:rsid w:val="00421192"/>
    <w:rsid w:val="00434CCD"/>
    <w:rsid w:val="00475D8A"/>
    <w:rsid w:val="00475DB6"/>
    <w:rsid w:val="004A1C36"/>
    <w:rsid w:val="004A3129"/>
    <w:rsid w:val="004A5AA9"/>
    <w:rsid w:val="004A69B6"/>
    <w:rsid w:val="004B078C"/>
    <w:rsid w:val="004B6117"/>
    <w:rsid w:val="004D2423"/>
    <w:rsid w:val="004E50AE"/>
    <w:rsid w:val="004F676C"/>
    <w:rsid w:val="00546678"/>
    <w:rsid w:val="005B0847"/>
    <w:rsid w:val="005B58F7"/>
    <w:rsid w:val="005F1487"/>
    <w:rsid w:val="005F7CBD"/>
    <w:rsid w:val="00603BB9"/>
    <w:rsid w:val="006736E2"/>
    <w:rsid w:val="006E57E2"/>
    <w:rsid w:val="00711350"/>
    <w:rsid w:val="007324B9"/>
    <w:rsid w:val="00746C1F"/>
    <w:rsid w:val="00754103"/>
    <w:rsid w:val="007A3E94"/>
    <w:rsid w:val="007B1EE3"/>
    <w:rsid w:val="007F4B2D"/>
    <w:rsid w:val="00806AFA"/>
    <w:rsid w:val="00837B0A"/>
    <w:rsid w:val="00855178"/>
    <w:rsid w:val="0085787D"/>
    <w:rsid w:val="0087447F"/>
    <w:rsid w:val="00886F44"/>
    <w:rsid w:val="00892561"/>
    <w:rsid w:val="008B1ED2"/>
    <w:rsid w:val="008C0134"/>
    <w:rsid w:val="008C7678"/>
    <w:rsid w:val="00903340"/>
    <w:rsid w:val="00910CE4"/>
    <w:rsid w:val="00913237"/>
    <w:rsid w:val="00914F1C"/>
    <w:rsid w:val="009531F0"/>
    <w:rsid w:val="00962514"/>
    <w:rsid w:val="00975C29"/>
    <w:rsid w:val="0099234F"/>
    <w:rsid w:val="009D0BA5"/>
    <w:rsid w:val="009D4D7C"/>
    <w:rsid w:val="009E586B"/>
    <w:rsid w:val="009E7FC3"/>
    <w:rsid w:val="00A30B63"/>
    <w:rsid w:val="00A55963"/>
    <w:rsid w:val="00A6230B"/>
    <w:rsid w:val="00A63699"/>
    <w:rsid w:val="00A733FE"/>
    <w:rsid w:val="00A74B6A"/>
    <w:rsid w:val="00AA617E"/>
    <w:rsid w:val="00AA75A8"/>
    <w:rsid w:val="00B04495"/>
    <w:rsid w:val="00B15B4E"/>
    <w:rsid w:val="00B536BB"/>
    <w:rsid w:val="00B559F8"/>
    <w:rsid w:val="00B67C98"/>
    <w:rsid w:val="00B768AF"/>
    <w:rsid w:val="00B80366"/>
    <w:rsid w:val="00B90E2A"/>
    <w:rsid w:val="00BA4430"/>
    <w:rsid w:val="00BA53DE"/>
    <w:rsid w:val="00BE24C2"/>
    <w:rsid w:val="00C05149"/>
    <w:rsid w:val="00C06915"/>
    <w:rsid w:val="00C21A2F"/>
    <w:rsid w:val="00C34909"/>
    <w:rsid w:val="00C3558D"/>
    <w:rsid w:val="00C400BE"/>
    <w:rsid w:val="00C55B00"/>
    <w:rsid w:val="00C9327C"/>
    <w:rsid w:val="00C9386F"/>
    <w:rsid w:val="00CA7FF4"/>
    <w:rsid w:val="00CB67B9"/>
    <w:rsid w:val="00CD637F"/>
    <w:rsid w:val="00D00C1B"/>
    <w:rsid w:val="00D06DC9"/>
    <w:rsid w:val="00D31577"/>
    <w:rsid w:val="00D43500"/>
    <w:rsid w:val="00D51BAE"/>
    <w:rsid w:val="00D8181B"/>
    <w:rsid w:val="00D81865"/>
    <w:rsid w:val="00DA783C"/>
    <w:rsid w:val="00DC740B"/>
    <w:rsid w:val="00DE290A"/>
    <w:rsid w:val="00DE4268"/>
    <w:rsid w:val="00DE7690"/>
    <w:rsid w:val="00DF49AF"/>
    <w:rsid w:val="00E075A1"/>
    <w:rsid w:val="00E16331"/>
    <w:rsid w:val="00E33B77"/>
    <w:rsid w:val="00E4617D"/>
    <w:rsid w:val="00E8758A"/>
    <w:rsid w:val="00EA2BBC"/>
    <w:rsid w:val="00EA7B46"/>
    <w:rsid w:val="00EC5CEF"/>
    <w:rsid w:val="00EE11C9"/>
    <w:rsid w:val="00F340FE"/>
    <w:rsid w:val="00F513B8"/>
    <w:rsid w:val="00F55569"/>
    <w:rsid w:val="00F657B2"/>
    <w:rsid w:val="00F75F80"/>
    <w:rsid w:val="00FA124E"/>
    <w:rsid w:val="00FA146D"/>
    <w:rsid w:val="00FC6AE9"/>
    <w:rsid w:val="00FC7768"/>
    <w:rsid w:val="00FF535C"/>
    <w:rsid w:val="0E8F6468"/>
    <w:rsid w:val="0F244121"/>
    <w:rsid w:val="27C70A1B"/>
    <w:rsid w:val="29001FB8"/>
    <w:rsid w:val="29EF6826"/>
    <w:rsid w:val="343F6A06"/>
    <w:rsid w:val="34FA0CF8"/>
    <w:rsid w:val="387E25D5"/>
    <w:rsid w:val="3F4A787C"/>
    <w:rsid w:val="53A701FB"/>
    <w:rsid w:val="555824CE"/>
    <w:rsid w:val="5F600CF3"/>
    <w:rsid w:val="71420273"/>
    <w:rsid w:val="78202E6B"/>
    <w:rsid w:val="7DC91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4">
    <w:name w:val="head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List Paragraph"/>
    <w:basedOn w:val="1"/>
    <w:unhideWhenUsed/>
    <w:qFormat/>
    <w:uiPriority w:val="99"/>
    <w:pPr>
      <w:ind w:firstLine="420" w:firstLineChars="200"/>
    </w:pPr>
  </w:style>
  <w:style w:type="character" w:customStyle="1" w:styleId="9">
    <w:name w:val="批注框文本 字符"/>
    <w:basedOn w:val="7"/>
    <w:link w:val="2"/>
    <w:qFormat/>
    <w:uiPriority w:val="0"/>
    <w:rPr>
      <w:kern w:val="2"/>
      <w:sz w:val="18"/>
      <w:szCs w:val="18"/>
    </w:rPr>
  </w:style>
  <w:style w:type="character" w:customStyle="1" w:styleId="10">
    <w:name w:val="页眉 字符"/>
    <w:basedOn w:val="7"/>
    <w:link w:val="4"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1">
    <w:name w:val="页脚 字符"/>
    <w:basedOn w:val="7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8</Pages>
  <Words>1892</Words>
  <Characters>1939</Characters>
  <Lines>172</Lines>
  <Paragraphs>66</Paragraphs>
  <TotalTime>12</TotalTime>
  <ScaleCrop>false</ScaleCrop>
  <LinksUpToDate>false</LinksUpToDate>
  <CharactersWithSpaces>1967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2025-05-10T05:28:00Z</dcterms:created>
  <dc:creator>Administrator</dc:creator>
  <cp:lastModifiedBy>叶庆权</cp:lastModifiedBy>
  <cp:lastPrinted>2025-05-10T05:36:00Z</cp:lastPrinted>
  <dcterms:modified xsi:type="dcterms:W3CDTF">2025-05-11T07:21:21Z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6B66ADB73358445A89B581EAF96F5937_12</vt:lpwstr>
  </property>
  <property fmtid="{D5CDD505-2E9C-101B-9397-08002B2CF9AE}" pid="4" name="KSOTemplateDocerSaveRecord">
    <vt:lpwstr>eyJoZGlkIjoiMzVkMTMyOTNmNGVkNjM3YzQ1MDVlODZlM2Y2OGZiNjEiLCJ1c2VySWQiOiIzMDQxOTUxMTIifQ==</vt:lpwstr>
  </property>
</Properties>
</file>