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BA01D">
      <w:pPr>
        <w:pStyle w:val="3"/>
        <w:jc w:val="center"/>
        <w:rPr>
          <w:rFonts w:ascii="华文行楷" w:eastAsia="华文行楷"/>
          <w:b/>
          <w:bCs/>
          <w:sz w:val="72"/>
          <w:szCs w:val="72"/>
        </w:rPr>
      </w:pPr>
    </w:p>
    <w:p w14:paraId="71D06277">
      <w:pPr>
        <w:pStyle w:val="3"/>
        <w:jc w:val="center"/>
        <w:rPr>
          <w:rFonts w:ascii="华文行楷" w:eastAsia="华文行楷"/>
          <w:b/>
          <w:bCs/>
          <w:sz w:val="72"/>
          <w:szCs w:val="72"/>
        </w:rPr>
      </w:pPr>
      <w:r>
        <w:rPr>
          <w:rFonts w:hint="eastAsia" w:ascii="华文行楷" w:eastAsia="华文行楷"/>
          <w:b/>
          <w:bCs/>
          <w:sz w:val="72"/>
          <w:szCs w:val="72"/>
        </w:rPr>
        <w:t>湖北大学知行学院</w:t>
      </w:r>
    </w:p>
    <w:p w14:paraId="7A3195F9">
      <w:pPr>
        <w:pStyle w:val="3"/>
        <w:jc w:val="center"/>
        <w:rPr>
          <w:rFonts w:ascii="华文行楷" w:eastAsia="华文行楷"/>
          <w:b/>
          <w:bCs/>
          <w:spacing w:val="-20"/>
          <w:w w:val="95"/>
          <w:sz w:val="52"/>
          <w:szCs w:val="52"/>
        </w:rPr>
      </w:pPr>
      <w:r>
        <w:rPr>
          <w:rFonts w:hint="eastAsia" w:ascii="华文行楷" w:eastAsia="华文行楷"/>
          <w:b/>
          <w:bCs/>
          <w:spacing w:val="-20"/>
          <w:w w:val="95"/>
          <w:sz w:val="52"/>
          <w:szCs w:val="52"/>
        </w:rPr>
        <w:t>毕业论文（设计）任务书</w:t>
      </w:r>
    </w:p>
    <w:p w14:paraId="09CAA6B4">
      <w:pPr>
        <w:pStyle w:val="3"/>
        <w:rPr>
          <w:u w:val="double"/>
        </w:rPr>
      </w:pPr>
    </w:p>
    <w:p w14:paraId="63E239EA">
      <w:pPr>
        <w:pStyle w:val="3"/>
        <w:rPr>
          <w:u w:val="double"/>
        </w:rPr>
      </w:pPr>
    </w:p>
    <w:p w14:paraId="6AF59B02">
      <w:pPr>
        <w:pStyle w:val="3"/>
        <w:rPr>
          <w:u w:val="double"/>
        </w:rPr>
      </w:pPr>
    </w:p>
    <w:p w14:paraId="52AFE758">
      <w:pPr>
        <w:pStyle w:val="3"/>
        <w:rPr>
          <w:u w:val="double"/>
        </w:rPr>
      </w:pPr>
    </w:p>
    <w:p w14:paraId="766005E5">
      <w:pPr>
        <w:pStyle w:val="3"/>
        <w:rPr>
          <w:u w:val="double"/>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5400"/>
      </w:tblGrid>
      <w:tr w14:paraId="6156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6" w:type="dxa"/>
            <w:tcBorders>
              <w:top w:val="nil"/>
              <w:left w:val="nil"/>
              <w:bottom w:val="nil"/>
              <w:right w:val="nil"/>
            </w:tcBorders>
            <w:shd w:val="clear" w:color="auto" w:fill="auto"/>
          </w:tcPr>
          <w:p w14:paraId="7C9D168F">
            <w:pPr>
              <w:ind w:left="2522" w:leftChars="532" w:hanging="1405" w:hangingChars="500"/>
              <w:jc w:val="center"/>
              <w:rPr>
                <w:position w:val="-44"/>
              </w:rPr>
            </w:pPr>
            <w:r>
              <w:rPr>
                <w:rFonts w:hint="eastAsia" w:ascii="宋体" w:hAnsi="宋体"/>
                <w:b/>
                <w:position w:val="-44"/>
                <w:sz w:val="28"/>
                <w:szCs w:val="28"/>
              </w:rPr>
              <w:t>题    目</w:t>
            </w:r>
          </w:p>
        </w:tc>
        <w:tc>
          <w:tcPr>
            <w:tcW w:w="5400" w:type="dxa"/>
            <w:tcBorders>
              <w:top w:val="nil"/>
              <w:left w:val="nil"/>
              <w:bottom w:val="single" w:color="auto" w:sz="4" w:space="0"/>
              <w:right w:val="nil"/>
            </w:tcBorders>
            <w:shd w:val="clear" w:color="auto" w:fill="auto"/>
            <w:vAlign w:val="center"/>
          </w:tcPr>
          <w:p w14:paraId="461C67ED">
            <w:pPr>
              <w:jc w:val="center"/>
              <w:rPr>
                <w:rFonts w:hint="eastAsia" w:ascii="宋体" w:hAnsi="宋体"/>
                <w:b/>
                <w:position w:val="-44"/>
                <w:sz w:val="28"/>
                <w:szCs w:val="28"/>
              </w:rPr>
            </w:pPr>
            <w:r>
              <w:rPr>
                <w:rFonts w:hint="eastAsia" w:hAnsi="宋体"/>
                <w:b/>
                <w:sz w:val="28"/>
                <w:szCs w:val="28"/>
              </w:rPr>
              <w:t>湘西苗族纹样在“苗岭灵韵”文创设计中的应用</w:t>
            </w:r>
          </w:p>
        </w:tc>
      </w:tr>
      <w:tr w14:paraId="2BBA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6" w:type="dxa"/>
            <w:tcBorders>
              <w:top w:val="nil"/>
              <w:left w:val="nil"/>
              <w:bottom w:val="nil"/>
              <w:right w:val="nil"/>
            </w:tcBorders>
            <w:shd w:val="clear" w:color="auto" w:fill="auto"/>
          </w:tcPr>
          <w:p w14:paraId="3A080CF4">
            <w:pPr>
              <w:ind w:firstLine="1124" w:firstLineChars="400"/>
              <w:jc w:val="center"/>
              <w:rPr>
                <w:position w:val="-44"/>
              </w:rPr>
            </w:pPr>
            <w:r>
              <w:rPr>
                <w:rFonts w:hint="eastAsia" w:ascii="宋体" w:hAnsi="宋体"/>
                <w:b/>
                <w:position w:val="-44"/>
                <w:sz w:val="28"/>
                <w:szCs w:val="28"/>
              </w:rPr>
              <w:t>姓    名</w:t>
            </w:r>
          </w:p>
        </w:tc>
        <w:tc>
          <w:tcPr>
            <w:tcW w:w="5400" w:type="dxa"/>
            <w:tcBorders>
              <w:top w:val="single" w:color="auto" w:sz="4" w:space="0"/>
              <w:left w:val="nil"/>
              <w:bottom w:val="single" w:color="auto" w:sz="4" w:space="0"/>
              <w:right w:val="nil"/>
            </w:tcBorders>
            <w:shd w:val="clear" w:color="auto" w:fill="auto"/>
            <w:vAlign w:val="center"/>
          </w:tcPr>
          <w:p w14:paraId="69BE1604">
            <w:pPr>
              <w:jc w:val="center"/>
              <w:rPr>
                <w:rFonts w:hint="eastAsia" w:ascii="宋体" w:hAnsi="宋体"/>
                <w:b/>
                <w:position w:val="-44"/>
                <w:sz w:val="28"/>
                <w:szCs w:val="28"/>
              </w:rPr>
            </w:pPr>
            <w:r>
              <w:rPr>
                <w:rFonts w:hint="eastAsia" w:hAnsi="宋体"/>
                <w:b/>
                <w:sz w:val="28"/>
                <w:szCs w:val="28"/>
              </w:rPr>
              <w:t>石鑫烨</w:t>
            </w:r>
          </w:p>
        </w:tc>
      </w:tr>
      <w:tr w14:paraId="5753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6" w:type="dxa"/>
            <w:tcBorders>
              <w:top w:val="nil"/>
              <w:left w:val="nil"/>
              <w:bottom w:val="nil"/>
              <w:right w:val="nil"/>
            </w:tcBorders>
            <w:shd w:val="clear" w:color="auto" w:fill="auto"/>
          </w:tcPr>
          <w:p w14:paraId="6A85ED82">
            <w:pPr>
              <w:ind w:firstLine="1124" w:firstLineChars="400"/>
              <w:jc w:val="center"/>
              <w:rPr>
                <w:position w:val="-44"/>
              </w:rPr>
            </w:pPr>
            <w:r>
              <w:rPr>
                <w:rFonts w:hint="eastAsia" w:ascii="宋体" w:hAnsi="宋体"/>
                <w:b/>
                <w:position w:val="-44"/>
                <w:sz w:val="28"/>
                <w:szCs w:val="28"/>
              </w:rPr>
              <w:t>学    号</w:t>
            </w:r>
          </w:p>
        </w:tc>
        <w:tc>
          <w:tcPr>
            <w:tcW w:w="5400" w:type="dxa"/>
            <w:tcBorders>
              <w:top w:val="single" w:color="auto" w:sz="4" w:space="0"/>
              <w:left w:val="nil"/>
              <w:bottom w:val="single" w:color="auto" w:sz="4" w:space="0"/>
              <w:right w:val="nil"/>
            </w:tcBorders>
            <w:shd w:val="clear" w:color="auto" w:fill="auto"/>
            <w:vAlign w:val="center"/>
          </w:tcPr>
          <w:p w14:paraId="21041523">
            <w:pPr>
              <w:jc w:val="center"/>
              <w:rPr>
                <w:rFonts w:hint="eastAsia" w:ascii="宋体" w:hAnsi="宋体"/>
                <w:b/>
                <w:position w:val="-44"/>
                <w:sz w:val="28"/>
                <w:szCs w:val="28"/>
              </w:rPr>
            </w:pPr>
            <w:r>
              <w:rPr>
                <w:rFonts w:hint="eastAsia" w:hAnsi="宋体"/>
                <w:b/>
                <w:sz w:val="28"/>
                <w:szCs w:val="28"/>
              </w:rPr>
              <w:t>2256590015</w:t>
            </w:r>
          </w:p>
        </w:tc>
      </w:tr>
      <w:tr w14:paraId="64E9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6" w:type="dxa"/>
            <w:tcBorders>
              <w:top w:val="nil"/>
              <w:left w:val="nil"/>
              <w:bottom w:val="nil"/>
              <w:right w:val="nil"/>
            </w:tcBorders>
            <w:shd w:val="clear" w:color="auto" w:fill="auto"/>
          </w:tcPr>
          <w:p w14:paraId="14262CD2">
            <w:pPr>
              <w:ind w:firstLine="1124" w:firstLineChars="400"/>
              <w:jc w:val="center"/>
              <w:rPr>
                <w:position w:val="-44"/>
              </w:rPr>
            </w:pPr>
            <w:r>
              <w:rPr>
                <w:rFonts w:hint="eastAsia" w:ascii="宋体" w:hAnsi="宋体"/>
                <w:b/>
                <w:position w:val="-44"/>
                <w:sz w:val="28"/>
                <w:szCs w:val="28"/>
              </w:rPr>
              <w:t>专业年级</w:t>
            </w:r>
          </w:p>
        </w:tc>
        <w:tc>
          <w:tcPr>
            <w:tcW w:w="5400" w:type="dxa"/>
            <w:tcBorders>
              <w:top w:val="single" w:color="auto" w:sz="4" w:space="0"/>
              <w:left w:val="nil"/>
              <w:bottom w:val="single" w:color="auto" w:sz="4" w:space="0"/>
              <w:right w:val="nil"/>
            </w:tcBorders>
            <w:shd w:val="clear" w:color="auto" w:fill="auto"/>
            <w:vAlign w:val="center"/>
          </w:tcPr>
          <w:p w14:paraId="6F0E5E01">
            <w:pPr>
              <w:jc w:val="center"/>
              <w:rPr>
                <w:rFonts w:hint="eastAsia" w:ascii="宋体" w:hAnsi="宋体"/>
                <w:b/>
                <w:position w:val="-44"/>
                <w:sz w:val="28"/>
                <w:szCs w:val="28"/>
              </w:rPr>
            </w:pPr>
            <w:r>
              <w:rPr>
                <w:rFonts w:hint="eastAsia" w:hAnsi="宋体"/>
                <w:b/>
                <w:sz w:val="28"/>
                <w:szCs w:val="28"/>
              </w:rPr>
              <w:t>数字媒体艺术  2022</w:t>
            </w:r>
          </w:p>
        </w:tc>
      </w:tr>
      <w:tr w14:paraId="1388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6" w:type="dxa"/>
            <w:tcBorders>
              <w:top w:val="nil"/>
              <w:left w:val="nil"/>
              <w:bottom w:val="nil"/>
              <w:right w:val="nil"/>
            </w:tcBorders>
            <w:shd w:val="clear" w:color="auto" w:fill="auto"/>
          </w:tcPr>
          <w:p w14:paraId="1D853A24">
            <w:pPr>
              <w:pStyle w:val="3"/>
              <w:ind w:firstLine="1119" w:firstLineChars="398"/>
              <w:jc w:val="center"/>
              <w:rPr>
                <w:position w:val="-44"/>
              </w:rPr>
            </w:pPr>
            <w:r>
              <w:rPr>
                <w:rFonts w:hint="eastAsia" w:hAnsi="宋体"/>
                <w:b/>
                <w:position w:val="-44"/>
                <w:sz w:val="28"/>
                <w:szCs w:val="28"/>
              </w:rPr>
              <w:t>指导教师</w:t>
            </w:r>
          </w:p>
        </w:tc>
        <w:tc>
          <w:tcPr>
            <w:tcW w:w="5400" w:type="dxa"/>
            <w:tcBorders>
              <w:top w:val="single" w:color="auto" w:sz="4" w:space="0"/>
              <w:left w:val="nil"/>
              <w:bottom w:val="single" w:color="auto" w:sz="4" w:space="0"/>
              <w:right w:val="nil"/>
            </w:tcBorders>
            <w:shd w:val="clear" w:color="auto" w:fill="auto"/>
            <w:vAlign w:val="center"/>
          </w:tcPr>
          <w:p w14:paraId="0529A455">
            <w:pPr>
              <w:pStyle w:val="3"/>
              <w:jc w:val="center"/>
              <w:rPr>
                <w:rFonts w:hint="eastAsia" w:hAnsi="宋体" w:cs="Times New Roman"/>
                <w:b/>
                <w:position w:val="-44"/>
                <w:sz w:val="28"/>
                <w:szCs w:val="28"/>
              </w:rPr>
            </w:pPr>
            <w:r>
              <w:rPr>
                <w:rFonts w:hint="eastAsia" w:hAnsi="宋体"/>
                <w:b/>
                <w:sz w:val="28"/>
                <w:szCs w:val="28"/>
              </w:rPr>
              <w:t>魏晓慧</w:t>
            </w:r>
          </w:p>
        </w:tc>
      </w:tr>
      <w:tr w14:paraId="0836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6" w:type="dxa"/>
            <w:tcBorders>
              <w:top w:val="nil"/>
              <w:left w:val="nil"/>
              <w:bottom w:val="nil"/>
              <w:right w:val="nil"/>
            </w:tcBorders>
            <w:shd w:val="clear" w:color="auto" w:fill="auto"/>
          </w:tcPr>
          <w:p w14:paraId="164D151C">
            <w:pPr>
              <w:pStyle w:val="3"/>
              <w:ind w:firstLine="1119" w:firstLineChars="398"/>
              <w:jc w:val="center"/>
              <w:rPr>
                <w:position w:val="-44"/>
              </w:rPr>
            </w:pPr>
            <w:r>
              <w:rPr>
                <w:rFonts w:hint="eastAsia" w:hAnsi="宋体"/>
                <w:b/>
                <w:position w:val="-44"/>
                <w:sz w:val="28"/>
                <w:szCs w:val="28"/>
              </w:rPr>
              <w:t>职    称</w:t>
            </w:r>
          </w:p>
        </w:tc>
        <w:tc>
          <w:tcPr>
            <w:tcW w:w="5400" w:type="dxa"/>
            <w:tcBorders>
              <w:top w:val="single" w:color="auto" w:sz="4" w:space="0"/>
              <w:left w:val="nil"/>
              <w:bottom w:val="single" w:color="auto" w:sz="4" w:space="0"/>
              <w:right w:val="nil"/>
            </w:tcBorders>
            <w:shd w:val="clear" w:color="auto" w:fill="auto"/>
            <w:vAlign w:val="center"/>
          </w:tcPr>
          <w:p w14:paraId="44932174">
            <w:pPr>
              <w:pStyle w:val="3"/>
              <w:jc w:val="center"/>
              <w:rPr>
                <w:rFonts w:hint="eastAsia" w:hAnsi="宋体" w:cs="Times New Roman"/>
                <w:b/>
                <w:position w:val="-44"/>
                <w:sz w:val="28"/>
                <w:szCs w:val="28"/>
              </w:rPr>
            </w:pPr>
            <w:r>
              <w:rPr>
                <w:rFonts w:hint="eastAsia" w:hAnsi="宋体"/>
                <w:b/>
                <w:sz w:val="28"/>
                <w:szCs w:val="28"/>
              </w:rPr>
              <w:t>副教授</w:t>
            </w:r>
          </w:p>
        </w:tc>
      </w:tr>
    </w:tbl>
    <w:p w14:paraId="0E872C0F">
      <w:pPr>
        <w:pStyle w:val="3"/>
        <w:ind w:firstLine="840" w:firstLineChars="300"/>
        <w:rPr>
          <w:sz w:val="28"/>
          <w:szCs w:val="28"/>
          <w:u w:val="single"/>
        </w:rPr>
      </w:pPr>
    </w:p>
    <w:p w14:paraId="079CD237">
      <w:pPr>
        <w:pStyle w:val="3"/>
        <w:jc w:val="center"/>
        <w:rPr>
          <w:sz w:val="28"/>
        </w:rPr>
      </w:pPr>
    </w:p>
    <w:p w14:paraId="19F29435">
      <w:pPr>
        <w:pStyle w:val="3"/>
        <w:ind w:firstLine="843" w:firstLineChars="300"/>
        <w:rPr>
          <w:b/>
          <w:sz w:val="28"/>
        </w:rPr>
      </w:pPr>
    </w:p>
    <w:p w14:paraId="45852171">
      <w:pPr>
        <w:pStyle w:val="3"/>
        <w:jc w:val="center"/>
        <w:rPr>
          <w:rFonts w:hint="eastAsia"/>
          <w:b/>
          <w:sz w:val="28"/>
        </w:rPr>
      </w:pPr>
      <w:r>
        <w:rPr>
          <w:rFonts w:hint="eastAsia"/>
          <w:b/>
          <w:sz w:val="28"/>
        </w:rPr>
        <w:t>下发任务书日期 ：2025年0</w:t>
      </w:r>
      <w:r>
        <w:rPr>
          <w:rFonts w:hint="eastAsia"/>
          <w:b/>
          <w:sz w:val="28"/>
          <w:lang w:val="en-US" w:eastAsia="zh-CN"/>
        </w:rPr>
        <w:t>9</w:t>
      </w:r>
      <w:r>
        <w:rPr>
          <w:rFonts w:hint="eastAsia"/>
          <w:b/>
          <w:sz w:val="28"/>
        </w:rPr>
        <w:t>月</w:t>
      </w:r>
      <w:r>
        <w:rPr>
          <w:rFonts w:hint="eastAsia"/>
          <w:b/>
          <w:sz w:val="28"/>
          <w:lang w:val="en-US" w:eastAsia="zh-CN"/>
        </w:rPr>
        <w:t>20</w:t>
      </w:r>
      <w:r>
        <w:rPr>
          <w:rFonts w:hint="eastAsia"/>
          <w:b/>
          <w:sz w:val="28"/>
        </w:rPr>
        <w:t>日</w:t>
      </w:r>
    </w:p>
    <w:p w14:paraId="1D19DC17">
      <w:pPr>
        <w:pStyle w:val="3"/>
        <w:jc w:val="center"/>
        <w:rPr>
          <w:rFonts w:hint="eastAsia"/>
          <w:b/>
          <w:sz w:val="28"/>
        </w:rPr>
      </w:pPr>
    </w:p>
    <w:p w14:paraId="5C706663">
      <w:pPr>
        <w:pStyle w:val="3"/>
        <w:numPr>
          <w:ilvl w:val="0"/>
          <w:numId w:val="1"/>
        </w:numPr>
        <w:spacing w:after="156" w:afterLines="50" w:line="600" w:lineRule="exact"/>
        <w:rPr>
          <w:b/>
          <w:bCs/>
          <w:sz w:val="28"/>
        </w:rPr>
      </w:pPr>
      <w:r>
        <w:rPr>
          <w:rFonts w:hint="eastAsia"/>
          <w:b/>
          <w:bCs/>
          <w:sz w:val="28"/>
        </w:rPr>
        <w:t>毕业论文（设计）的任务和要求：</w:t>
      </w:r>
    </w:p>
    <w:p w14:paraId="2C855823">
      <w:pPr>
        <w:pStyle w:val="3"/>
        <w:rPr>
          <w:sz w:val="28"/>
          <w:u w:val="single"/>
        </w:rPr>
      </w:pPr>
      <w:r>
        <w:rPr>
          <w:rFonts w:hint="eastAsia"/>
          <w:sz w:val="24"/>
          <w:szCs w:val="20"/>
          <w:u w:val="single"/>
        </w:rPr>
        <w:t>主要任务</w:t>
      </w:r>
    </w:p>
    <w:p w14:paraId="56D8DABE">
      <w:pPr>
        <w:pStyle w:val="3"/>
        <w:rPr>
          <w:sz w:val="28"/>
          <w:u w:val="single"/>
        </w:rPr>
      </w:pPr>
      <w:r>
        <w:rPr>
          <w:rFonts w:hint="eastAsia"/>
          <w:sz w:val="24"/>
          <w:szCs w:val="20"/>
          <w:u w:val="single"/>
        </w:rPr>
        <w:t>本次毕业论文的主要任务是，根据学校和学院对毕业论文的有关规定和要求，在老师的安排和指导下，完成湘西苗族纹样在“苗岭灵韵”文创设计中的应用的研究。阅读非遗传承、传统纹样活化、文创产品设计等相关文献，梳理学界关于苗族纹样文化内涵、视觉特征、现代设计转化的研究成果，吃透核心理论与前沿方法，撰写规范的开题报告。开展实地调研与案例搜集工作，深入挖掘湘西苗族纹样的历史渊源、文化寓意、造型技法、色彩体系，收集同类非遗文创、苗族主题文创设计案例及市场反馈资料，运用视觉传达设计、文创产品开发、用户体验分析等专业理论与方法，对资料信息进行系统梳理与深度剖析，明晰湘西苗族纹样的核心价值与当代应用困境，总结现有苗族文创设计存在的同质化、文化割裂、实用性不足等问题，结合“苗岭灵韵”文创品牌定位，构建适配现代审美与市场需求的设计应用路径，提出针对性的优化策略与实践方案，撰写出对湘西苗族非遗文化传承、地域文创品牌打造、传统纹样创新应用具有理论参考与实践价值的毕业论文。</w:t>
      </w:r>
    </w:p>
    <w:p w14:paraId="1B969DC1">
      <w:pPr>
        <w:pStyle w:val="3"/>
        <w:rPr>
          <w:sz w:val="28"/>
          <w:u w:val="single"/>
        </w:rPr>
      </w:pPr>
      <w:r>
        <w:rPr>
          <w:rFonts w:hint="eastAsia"/>
          <w:sz w:val="24"/>
          <w:szCs w:val="20"/>
          <w:u w:val="single"/>
        </w:rPr>
        <w:t>本次毕业论文的主要目标是，通过对湘西苗族纹样在“苗岭灵韵”文创设计中应用，将所学的视觉设计理论、非遗活化方法、文创开发逻辑运用于实际项目设计中，提升传统文化调研、视觉元素提炼、方案创新落地的综合能力，培养非遗传承与现代设计融合的创新思维，掌握学术论文写作的规范流程与核心方法，圆满完成毕业论文各阶段学习任务，最终撰写出符合院校要求、兼具学术性与实践性的合格毕业论文。</w:t>
      </w:r>
    </w:p>
    <w:p w14:paraId="5470F76C">
      <w:pPr>
        <w:pStyle w:val="3"/>
        <w:rPr>
          <w:sz w:val="28"/>
          <w:u w:val="single"/>
        </w:rPr>
      </w:pPr>
      <w:r>
        <w:rPr>
          <w:rFonts w:hint="eastAsia"/>
          <w:sz w:val="24"/>
          <w:szCs w:val="20"/>
          <w:u w:val="single"/>
        </w:rPr>
        <w:t>基本要求</w:t>
      </w:r>
    </w:p>
    <w:p w14:paraId="720735F7">
      <w:pPr>
        <w:pStyle w:val="3"/>
        <w:rPr>
          <w:sz w:val="28"/>
          <w:u w:val="single"/>
        </w:rPr>
      </w:pPr>
      <w:r>
        <w:rPr>
          <w:rFonts w:hint="eastAsia"/>
          <w:sz w:val="24"/>
          <w:szCs w:val="20"/>
          <w:u w:val="single"/>
        </w:rPr>
        <w:t>论文撰写要求思路清晰、内容充实、论点明确、论据充分、语言通顺、逻辑严谨。撰写论文前应系统研读非遗保护、传统纹样创新、地域文创开发等领域的研究资料，精准把握湘西苗族文化的精神内核与纹样艺术特征，紧跟非遗文创设计、国潮文化创新的前沿动态，夯实专业理论功底，提升论文的文化深度与学术水平。根据开题报告框架、中期检查意见及指导老师的修改建议，反复打磨论文内容、完善设计方案、规范论证逻辑，严格遵照论文进度安排推进写作、修改与定稿工作，按时参加毕业论文开题答辩、中期考核与最终答辩。论文的格式规范、字数要求、参考文献标注、图表排版等撰写细节，严格参照学校本科毕业论文格式标准执行，确保论文体例规范、内容完整、贴合专业培养目标。</w:t>
      </w:r>
    </w:p>
    <w:p w14:paraId="3606F08F">
      <w:pPr>
        <w:pStyle w:val="3"/>
        <w:rPr>
          <w:sz w:val="28"/>
          <w:u w:val="single"/>
        </w:rPr>
      </w:pPr>
      <w:r>
        <w:rPr>
          <w:rFonts w:hint="eastAsia"/>
          <w:sz w:val="24"/>
          <w:szCs w:val="20"/>
          <w:u w:val="single"/>
        </w:rPr>
        <w:t xml:space="preserve"> 其他要求</w:t>
      </w:r>
    </w:p>
    <w:p w14:paraId="6EC9BB47">
      <w:pPr>
        <w:pStyle w:val="3"/>
        <w:rPr>
          <w:sz w:val="28"/>
          <w:u w:val="single"/>
        </w:rPr>
      </w:pPr>
      <w:r>
        <w:rPr>
          <w:rFonts w:hint="eastAsia"/>
          <w:sz w:val="24"/>
          <w:szCs w:val="20"/>
          <w:u w:val="single"/>
        </w:rPr>
        <w:t>1、独立完成任务；</w:t>
      </w:r>
    </w:p>
    <w:p w14:paraId="52C0409D">
      <w:pPr>
        <w:pStyle w:val="3"/>
        <w:rPr>
          <w:sz w:val="28"/>
          <w:u w:val="single"/>
        </w:rPr>
      </w:pPr>
      <w:r>
        <w:rPr>
          <w:rFonts w:hint="eastAsia"/>
          <w:sz w:val="24"/>
          <w:szCs w:val="20"/>
          <w:u w:val="single"/>
        </w:rPr>
        <w:t>2、完成开题报告；</w:t>
      </w:r>
    </w:p>
    <w:p w14:paraId="332C5A4F">
      <w:pPr>
        <w:pStyle w:val="3"/>
        <w:rPr>
          <w:sz w:val="28"/>
          <w:u w:val="single"/>
        </w:rPr>
      </w:pPr>
      <w:r>
        <w:rPr>
          <w:rFonts w:hint="eastAsia"/>
          <w:sz w:val="24"/>
          <w:szCs w:val="20"/>
          <w:u w:val="single"/>
        </w:rPr>
        <w:t>3、设计报告、论文格式需符合规范；</w:t>
      </w:r>
    </w:p>
    <w:p w14:paraId="53711C08">
      <w:pPr>
        <w:pStyle w:val="3"/>
        <w:rPr>
          <w:sz w:val="28"/>
          <w:u w:val="single"/>
        </w:rPr>
      </w:pPr>
      <w:r>
        <w:rPr>
          <w:rFonts w:hint="eastAsia"/>
          <w:sz w:val="24"/>
          <w:szCs w:val="20"/>
          <w:u w:val="single"/>
        </w:rPr>
        <w:t>4、学会查找10篇以上有关文献，其中外文资料至少2篇；</w:t>
      </w:r>
    </w:p>
    <w:p w14:paraId="4BBDE262">
      <w:pPr>
        <w:pStyle w:val="3"/>
        <w:rPr>
          <w:sz w:val="28"/>
          <w:u w:val="single"/>
        </w:rPr>
      </w:pPr>
      <w:r>
        <w:rPr>
          <w:rFonts w:hint="eastAsia"/>
          <w:sz w:val="24"/>
          <w:szCs w:val="20"/>
          <w:u w:val="single"/>
        </w:rPr>
        <w:t>5、题目一般不超过20个字；</w:t>
      </w:r>
    </w:p>
    <w:p w14:paraId="24189E5A">
      <w:pPr>
        <w:pStyle w:val="3"/>
        <w:rPr>
          <w:sz w:val="28"/>
          <w:u w:val="single"/>
        </w:rPr>
      </w:pPr>
      <w:r>
        <w:rPr>
          <w:rFonts w:hint="eastAsia"/>
          <w:sz w:val="24"/>
          <w:szCs w:val="20"/>
          <w:u w:val="single"/>
        </w:rPr>
        <w:t>6、中文摘要300汉字左右，外文摘要约250个实词左右。</w:t>
      </w:r>
    </w:p>
    <w:p w14:paraId="05163A85">
      <w:pPr>
        <w:widowControl/>
        <w:jc w:val="left"/>
        <w:rPr>
          <w:b/>
          <w:bCs/>
          <w:sz w:val="28"/>
        </w:rPr>
      </w:pPr>
      <w:r>
        <w:rPr>
          <w:rFonts w:hint="eastAsia"/>
          <w:b/>
          <w:bCs/>
          <w:sz w:val="28"/>
        </w:rPr>
        <w:t>其它要求：</w:t>
      </w:r>
    </w:p>
    <w:p w14:paraId="68024A29">
      <w:pPr>
        <w:pStyle w:val="3"/>
        <w:spacing w:line="400" w:lineRule="exact"/>
        <w:rPr>
          <w:sz w:val="24"/>
          <w:szCs w:val="20"/>
          <w:u w:val="single"/>
        </w:rPr>
      </w:pPr>
      <w:r>
        <w:rPr>
          <w:rFonts w:hint="eastAsia"/>
          <w:sz w:val="24"/>
          <w:szCs w:val="20"/>
          <w:u w:val="single"/>
        </w:rPr>
        <w:t>1、独立完成任务；</w:t>
      </w:r>
    </w:p>
    <w:p w14:paraId="12669DC5">
      <w:pPr>
        <w:pStyle w:val="3"/>
        <w:spacing w:line="400" w:lineRule="exact"/>
        <w:rPr>
          <w:sz w:val="24"/>
          <w:szCs w:val="20"/>
          <w:u w:val="single"/>
        </w:rPr>
      </w:pPr>
      <w:r>
        <w:rPr>
          <w:rFonts w:hint="eastAsia"/>
          <w:sz w:val="24"/>
          <w:szCs w:val="20"/>
          <w:u w:val="single"/>
        </w:rPr>
        <w:t>2、完成开题报告；</w:t>
      </w:r>
    </w:p>
    <w:p w14:paraId="5E19A534">
      <w:pPr>
        <w:pStyle w:val="3"/>
        <w:spacing w:line="400" w:lineRule="exact"/>
        <w:rPr>
          <w:sz w:val="24"/>
          <w:szCs w:val="20"/>
          <w:u w:val="single"/>
        </w:rPr>
      </w:pPr>
      <w:r>
        <w:rPr>
          <w:rFonts w:hint="eastAsia"/>
          <w:sz w:val="24"/>
          <w:szCs w:val="20"/>
          <w:u w:val="single"/>
        </w:rPr>
        <w:t>3、设计报告、论文格式需符合规范；</w:t>
      </w:r>
    </w:p>
    <w:p w14:paraId="52EFA62E">
      <w:pPr>
        <w:pStyle w:val="3"/>
        <w:spacing w:line="400" w:lineRule="exact"/>
        <w:rPr>
          <w:sz w:val="24"/>
          <w:szCs w:val="20"/>
          <w:u w:val="single"/>
        </w:rPr>
      </w:pPr>
      <w:r>
        <w:rPr>
          <w:rFonts w:hint="eastAsia"/>
          <w:sz w:val="24"/>
          <w:szCs w:val="20"/>
          <w:u w:val="single"/>
        </w:rPr>
        <w:t>4、学会查找10篇以上有关文献，其中外文资料至少2篇；</w:t>
      </w:r>
    </w:p>
    <w:p w14:paraId="2D65F2F3">
      <w:pPr>
        <w:pStyle w:val="3"/>
        <w:spacing w:line="400" w:lineRule="exact"/>
        <w:rPr>
          <w:sz w:val="24"/>
          <w:szCs w:val="20"/>
          <w:u w:val="single"/>
        </w:rPr>
      </w:pPr>
      <w:r>
        <w:rPr>
          <w:rFonts w:hint="eastAsia"/>
          <w:sz w:val="24"/>
          <w:szCs w:val="20"/>
          <w:u w:val="single"/>
        </w:rPr>
        <w:t>5、题目一般不超过20个字；</w:t>
      </w:r>
    </w:p>
    <w:p w14:paraId="1B09E895">
      <w:pPr>
        <w:pStyle w:val="3"/>
        <w:spacing w:line="400" w:lineRule="exact"/>
        <w:rPr>
          <w:sz w:val="24"/>
          <w:szCs w:val="20"/>
          <w:u w:val="single"/>
        </w:rPr>
      </w:pPr>
      <w:r>
        <w:rPr>
          <w:rFonts w:hint="eastAsia"/>
          <w:sz w:val="24"/>
          <w:szCs w:val="20"/>
          <w:u w:val="single"/>
        </w:rPr>
        <w:t>6、中文摘要300汉字左右，外文摘要约250个实词左右；</w:t>
      </w:r>
    </w:p>
    <w:p w14:paraId="3FF327A6">
      <w:pPr>
        <w:pStyle w:val="3"/>
        <w:spacing w:line="500" w:lineRule="exact"/>
        <w:rPr>
          <w:sz w:val="28"/>
        </w:rPr>
      </w:pPr>
      <w:r>
        <w:rPr>
          <w:rFonts w:hint="eastAsia"/>
          <w:b/>
          <w:bCs/>
          <w:sz w:val="28"/>
        </w:rPr>
        <w:t>二、应查阅的主要参考文献</w:t>
      </w:r>
      <w:r>
        <w:rPr>
          <w:rFonts w:hint="eastAsia"/>
          <w:sz w:val="28"/>
        </w:rPr>
        <w:t>：</w:t>
      </w:r>
    </w:p>
    <w:p w14:paraId="323A1A64">
      <w:pPr>
        <w:pStyle w:val="3"/>
        <w:spacing w:line="276" w:lineRule="auto"/>
        <w:rPr>
          <w:sz w:val="24"/>
          <w:szCs w:val="24"/>
          <w:u w:val="single"/>
        </w:rPr>
      </w:pPr>
      <w:r>
        <w:rPr>
          <w:rFonts w:hint="eastAsia"/>
          <w:sz w:val="24"/>
          <w:szCs w:val="24"/>
          <w:u w:val="single"/>
        </w:rPr>
        <w:t>[1]方正,胡振江.湘西苗族文旅发展的策略[J].炎黄地理,2025,(07):93-96.</w:t>
      </w:r>
    </w:p>
    <w:p w14:paraId="21399AB2">
      <w:pPr>
        <w:pStyle w:val="3"/>
        <w:spacing w:line="276" w:lineRule="auto"/>
        <w:rPr>
          <w:sz w:val="24"/>
          <w:szCs w:val="24"/>
          <w:u w:val="single"/>
        </w:rPr>
      </w:pPr>
      <w:r>
        <w:rPr>
          <w:rFonts w:hint="eastAsia"/>
          <w:sz w:val="24"/>
          <w:szCs w:val="24"/>
          <w:u w:val="single"/>
        </w:rPr>
        <w:t xml:space="preserve">[2]杨勇波.湘西苗绣传统设计文化研究[D].湖南大学,2023.DOI:10.27135/d.cnki.ghudu.2023.000516. </w:t>
      </w:r>
    </w:p>
    <w:p w14:paraId="6B9369D5">
      <w:pPr>
        <w:pStyle w:val="3"/>
        <w:spacing w:line="276" w:lineRule="auto"/>
        <w:rPr>
          <w:sz w:val="24"/>
          <w:szCs w:val="24"/>
          <w:u w:val="single"/>
        </w:rPr>
      </w:pPr>
      <w:r>
        <w:rPr>
          <w:rFonts w:hint="eastAsia"/>
          <w:sz w:val="24"/>
          <w:szCs w:val="24"/>
          <w:u w:val="single"/>
        </w:rPr>
        <w:t>[3]王文超.丹寨苗族蜡染纹样在贵州旅游文创中的应用研究[D].北京印刷学院,2025.DOI:10.26968/d.cnki.gbjyc.2025.000121.</w:t>
      </w:r>
    </w:p>
    <w:p w14:paraId="051DF2C1">
      <w:pPr>
        <w:pStyle w:val="3"/>
        <w:spacing w:line="276" w:lineRule="auto"/>
        <w:rPr>
          <w:sz w:val="24"/>
          <w:szCs w:val="24"/>
          <w:u w:val="single"/>
        </w:rPr>
      </w:pPr>
      <w:r>
        <w:rPr>
          <w:rFonts w:hint="eastAsia"/>
          <w:sz w:val="24"/>
          <w:szCs w:val="24"/>
          <w:u w:val="single"/>
        </w:rPr>
        <w:t>[4]张涛,滕欣玥.《纹脉相承——桂北壮族纹样再生计划》纹样设计及应用[J].印染,2025,51(08):112.DOI:CNKI:SUN:YIRA.0.2025-08-026.</w:t>
      </w:r>
    </w:p>
    <w:p w14:paraId="56B8B3EC">
      <w:pPr>
        <w:pStyle w:val="3"/>
        <w:spacing w:line="276" w:lineRule="auto"/>
        <w:rPr>
          <w:sz w:val="24"/>
          <w:szCs w:val="24"/>
          <w:u w:val="single"/>
        </w:rPr>
      </w:pPr>
      <w:r>
        <w:rPr>
          <w:rFonts w:hint="eastAsia"/>
          <w:sz w:val="24"/>
          <w:szCs w:val="24"/>
          <w:u w:val="single"/>
        </w:rPr>
        <w:t>[5][3]朱晨薇,聂磊明,易晓蜜.传统服饰纹样在文创产品设计中的应用[J].印染,2025,51(07):88-91.DOI:CNKI:SUN:YIRA.0.2025-07-019.</w:t>
      </w:r>
    </w:p>
    <w:p w14:paraId="32B9278E">
      <w:pPr>
        <w:pStyle w:val="3"/>
        <w:spacing w:line="276" w:lineRule="auto"/>
        <w:rPr>
          <w:sz w:val="24"/>
          <w:szCs w:val="24"/>
          <w:u w:val="single"/>
        </w:rPr>
      </w:pPr>
      <w:r>
        <w:rPr>
          <w:rFonts w:hint="eastAsia"/>
          <w:sz w:val="24"/>
          <w:szCs w:val="24"/>
          <w:u w:val="single"/>
        </w:rPr>
        <w:t>[6][4]刘骏桥.湘西蓝印花布纹样在现代服装中的创新设计探索[J].上海服饰,2025,(07):45-47.DOI:CNKI:SUN:SHFS.0.2025-07-017.</w:t>
      </w:r>
    </w:p>
    <w:p w14:paraId="1EB76085">
      <w:pPr>
        <w:pStyle w:val="3"/>
        <w:spacing w:line="276" w:lineRule="auto"/>
        <w:rPr>
          <w:sz w:val="24"/>
          <w:szCs w:val="24"/>
          <w:u w:val="single"/>
        </w:rPr>
      </w:pPr>
      <w:r>
        <w:rPr>
          <w:rFonts w:hint="eastAsia"/>
          <w:sz w:val="24"/>
          <w:szCs w:val="24"/>
          <w:u w:val="single"/>
        </w:rPr>
        <w:t>[7][5]王章叶,刘强生,杨津,等.“敦煌藻井纹样”系列非遗文创设计作品[J].丝绸,2025,62(07):150.DOI:CNKI:SUN:SICO.0.2025-07-020.</w:t>
      </w:r>
    </w:p>
    <w:p w14:paraId="1228590B">
      <w:pPr>
        <w:pStyle w:val="3"/>
        <w:spacing w:line="276" w:lineRule="auto"/>
        <w:rPr>
          <w:sz w:val="24"/>
          <w:szCs w:val="24"/>
          <w:u w:val="single"/>
        </w:rPr>
      </w:pPr>
      <w:r>
        <w:rPr>
          <w:rFonts w:hint="eastAsia"/>
          <w:sz w:val="24"/>
          <w:szCs w:val="24"/>
          <w:u w:val="single"/>
        </w:rPr>
        <w:t>[8][6]周颖,马德东.传统云肩纹样的符号解构与现代文创设计转化研究[J].辽宁丝绸,2025,(03):27-28+58.DOI:CNKI:SUN:LLSC.0.2025-03-010.</w:t>
      </w:r>
    </w:p>
    <w:p w14:paraId="05F33993">
      <w:pPr>
        <w:pStyle w:val="3"/>
        <w:spacing w:line="276" w:lineRule="auto"/>
        <w:rPr>
          <w:sz w:val="24"/>
          <w:szCs w:val="24"/>
          <w:u w:val="single"/>
        </w:rPr>
      </w:pPr>
      <w:r>
        <w:rPr>
          <w:rFonts w:hint="eastAsia"/>
          <w:sz w:val="24"/>
          <w:szCs w:val="24"/>
          <w:u w:val="single"/>
        </w:rPr>
        <w:t>[9][7]毕欣怡.中国传统吉祥纹样在国潮产品设计中的应用——以八吉祥纹为例[J].艺术教育,2025,(12):187-190.DOI:CNKI:SUN:YSJY.0.2025-12-044.</w:t>
      </w:r>
    </w:p>
    <w:p w14:paraId="1440C9D8">
      <w:pPr>
        <w:pStyle w:val="3"/>
        <w:spacing w:line="276" w:lineRule="auto"/>
        <w:rPr>
          <w:sz w:val="24"/>
          <w:szCs w:val="24"/>
          <w:u w:val="single"/>
        </w:rPr>
      </w:pPr>
      <w:r>
        <w:rPr>
          <w:rFonts w:hint="eastAsia"/>
          <w:sz w:val="24"/>
          <w:szCs w:val="24"/>
          <w:u w:val="single"/>
        </w:rPr>
        <w:t>[10][8]宗诚,宋铭涵.设计符号学理论视域下苗族传统纹样文创产品设计研究[J].大连大学学报,2025,46(03):109-117.DOI:CNKI:SUN:DALI.0.2025-03-014.</w:t>
      </w:r>
    </w:p>
    <w:p w14:paraId="54F1D9D0">
      <w:pPr>
        <w:pStyle w:val="3"/>
        <w:spacing w:line="276" w:lineRule="auto"/>
        <w:rPr>
          <w:sz w:val="24"/>
          <w:szCs w:val="24"/>
          <w:u w:val="single"/>
        </w:rPr>
      </w:pPr>
      <w:r>
        <w:rPr>
          <w:rFonts w:hint="eastAsia"/>
          <w:sz w:val="24"/>
          <w:szCs w:val="24"/>
          <w:u w:val="single"/>
        </w:rPr>
        <w:t>[11][9]宗诚,宋铭涵.设计符号学理论视域下苗族传统纹样文创产品设计研究[J].大连大学学报,2025,46(03):109-117.DOI:CNKI:SUN:DALI.0.2025-03-014.</w:t>
      </w:r>
    </w:p>
    <w:p w14:paraId="09C589B9">
      <w:pPr>
        <w:pStyle w:val="3"/>
        <w:spacing w:line="276" w:lineRule="auto"/>
        <w:rPr>
          <w:sz w:val="24"/>
          <w:szCs w:val="24"/>
          <w:u w:val="single"/>
        </w:rPr>
      </w:pPr>
      <w:r>
        <w:rPr>
          <w:rFonts w:hint="eastAsia"/>
          <w:sz w:val="24"/>
          <w:szCs w:val="24"/>
          <w:u w:val="single"/>
        </w:rPr>
        <w:t>[12]倪晨博.湘西苗族蜡染纹样在现代服装设计中的应用性研究[D].哈尔滨师范大学,2024.DOI:10.27064/d.cnki.ghasu.2024.000072.</w:t>
      </w:r>
    </w:p>
    <w:p w14:paraId="5FCF3B60">
      <w:pPr>
        <w:pStyle w:val="3"/>
        <w:spacing w:line="276" w:lineRule="auto"/>
        <w:rPr>
          <w:sz w:val="24"/>
          <w:szCs w:val="24"/>
          <w:u w:val="single"/>
        </w:rPr>
      </w:pPr>
      <w:r>
        <w:rPr>
          <w:rFonts w:hint="eastAsia"/>
          <w:sz w:val="24"/>
          <w:szCs w:val="24"/>
          <w:u w:val="single"/>
        </w:rPr>
        <w:t>[13]Legino R, Forrest D. Symmetrical motif design in Malaysian Batik sarong patterns[C]//InternationalColloquium of Art and Design Education Research （i-CADER 2014）. Springer Singapore, 2015: 695-701.</w:t>
      </w:r>
    </w:p>
    <w:p w14:paraId="52C12E35">
      <w:pPr>
        <w:pStyle w:val="3"/>
        <w:spacing w:line="276" w:lineRule="auto"/>
        <w:rPr>
          <w:sz w:val="24"/>
          <w:szCs w:val="24"/>
          <w:u w:val="single"/>
        </w:rPr>
      </w:pPr>
      <w:r>
        <w:rPr>
          <w:rFonts w:hint="eastAsia"/>
          <w:sz w:val="24"/>
          <w:szCs w:val="24"/>
          <w:u w:val="single"/>
        </w:rPr>
        <w:t>[14]Young-Sin K .A Study on Miao People Batik Dyeing of Guizhou Province in China[J].Journal of Korean Traditional Costume, 2010, 13(2):63-79.</w:t>
      </w:r>
    </w:p>
    <w:p w14:paraId="2C9D91D1">
      <w:pPr>
        <w:pStyle w:val="3"/>
        <w:numPr>
          <w:ilvl w:val="0"/>
          <w:numId w:val="1"/>
        </w:numPr>
        <w:spacing w:line="500" w:lineRule="exact"/>
        <w:rPr>
          <w:rFonts w:hint="eastAsia"/>
          <w:sz w:val="24"/>
        </w:rPr>
      </w:pPr>
      <w:r>
        <w:rPr>
          <w:rFonts w:hint="eastAsia"/>
          <w:b/>
          <w:bCs/>
          <w:sz w:val="28"/>
          <w:szCs w:val="28"/>
        </w:rPr>
        <w:t>毕业论文（设计）进度计划</w:t>
      </w:r>
    </w:p>
    <w:tbl>
      <w:tblPr>
        <w:tblStyle w:val="7"/>
        <w:tblpPr w:leftFromText="180" w:rightFromText="180" w:vertAnchor="text" w:horzAnchor="page" w:tblpX="1542" w:tblpY="111"/>
        <w:tblOverlap w:val="never"/>
        <w:tblW w:w="8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44"/>
      </w:tblGrid>
      <w:tr w14:paraId="68A9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8544" w:type="dxa"/>
            <w:shd w:val="clear" w:color="auto" w:fill="auto"/>
          </w:tcPr>
          <w:p w14:paraId="226BB3F3">
            <w:pPr>
              <w:pStyle w:val="3"/>
              <w:spacing w:line="500" w:lineRule="exact"/>
              <w:jc w:val="both"/>
              <w:rPr>
                <w:sz w:val="28"/>
                <w:szCs w:val="28"/>
                <w:u w:val="none"/>
              </w:rPr>
            </w:pPr>
            <w:r>
              <w:rPr>
                <w:rFonts w:hint="eastAsia"/>
                <w:sz w:val="24"/>
                <w:szCs w:val="24"/>
                <w:u w:val="none"/>
              </w:rPr>
              <w:t>1.2025.06.01-2025.09.10——确定毕业设计选题，然后按要求在指导老师的指导下开始毕业论文(设计)工作。</w:t>
            </w:r>
          </w:p>
          <w:p w14:paraId="1870F2C4">
            <w:pPr>
              <w:pStyle w:val="3"/>
              <w:spacing w:line="500" w:lineRule="exact"/>
              <w:jc w:val="both"/>
              <w:rPr>
                <w:sz w:val="28"/>
                <w:szCs w:val="28"/>
                <w:u w:val="none"/>
              </w:rPr>
            </w:pPr>
            <w:r>
              <w:rPr>
                <w:rFonts w:hint="eastAsia"/>
                <w:sz w:val="24"/>
                <w:szCs w:val="24"/>
                <w:u w:val="none"/>
              </w:rPr>
              <w:t>2.2025.09.11-2025.10.10——指导教师下发任务书，基于任务书，开始查阅论文相关文献资料和熟悉课题。</w:t>
            </w:r>
          </w:p>
          <w:p w14:paraId="43DD655C">
            <w:pPr>
              <w:pStyle w:val="3"/>
              <w:spacing w:line="500" w:lineRule="exact"/>
              <w:jc w:val="both"/>
              <w:rPr>
                <w:sz w:val="28"/>
                <w:szCs w:val="28"/>
                <w:u w:val="none"/>
              </w:rPr>
            </w:pPr>
            <w:r>
              <w:rPr>
                <w:rFonts w:hint="eastAsia"/>
                <w:sz w:val="24"/>
                <w:szCs w:val="24"/>
                <w:u w:val="none"/>
              </w:rPr>
              <w:t>3.2025.10.11-2025.10.28——拟定开题报告和文献综述等，并经过论文指导老师修订完成后报院专业审查小组认可，学院毕业论文工作委员会进行审定，参与开题报告会，确定开题。</w:t>
            </w:r>
          </w:p>
          <w:p w14:paraId="04C143AD">
            <w:pPr>
              <w:pStyle w:val="3"/>
              <w:spacing w:line="500" w:lineRule="exact"/>
              <w:jc w:val="both"/>
              <w:rPr>
                <w:sz w:val="28"/>
                <w:szCs w:val="28"/>
                <w:u w:val="none"/>
              </w:rPr>
            </w:pPr>
            <w:r>
              <w:rPr>
                <w:rFonts w:hint="eastAsia"/>
                <w:sz w:val="24"/>
                <w:szCs w:val="24"/>
                <w:u w:val="none"/>
              </w:rPr>
              <w:t>4.2025.10.29-2025.12.31——在指导老师指导下，收集整理与课题有关的资料和数据，完成课题调研部分。</w:t>
            </w:r>
          </w:p>
          <w:p w14:paraId="2572420A">
            <w:pPr>
              <w:pStyle w:val="3"/>
              <w:spacing w:line="500" w:lineRule="exact"/>
              <w:jc w:val="both"/>
              <w:rPr>
                <w:sz w:val="28"/>
                <w:szCs w:val="28"/>
                <w:u w:val="none"/>
              </w:rPr>
            </w:pPr>
            <w:r>
              <w:rPr>
                <w:rFonts w:hint="eastAsia"/>
                <w:sz w:val="24"/>
                <w:szCs w:val="24"/>
                <w:u w:val="none"/>
              </w:rPr>
              <w:t>5.2026.1.1-2026.1.31——将资料整合，在指导老师指导下完成论文初稿。</w:t>
            </w:r>
          </w:p>
          <w:p w14:paraId="6F60841D">
            <w:pPr>
              <w:pStyle w:val="3"/>
              <w:spacing w:line="500" w:lineRule="exact"/>
              <w:jc w:val="both"/>
              <w:rPr>
                <w:sz w:val="28"/>
                <w:szCs w:val="28"/>
                <w:u w:val="none"/>
              </w:rPr>
            </w:pPr>
            <w:r>
              <w:rPr>
                <w:rFonts w:hint="eastAsia"/>
                <w:sz w:val="24"/>
                <w:szCs w:val="24"/>
                <w:u w:val="none"/>
              </w:rPr>
              <w:t>6.2026.2.1-2026.2.15——根据指导老师的修改意见，修改论文，撰写论文期中检查表。</w:t>
            </w:r>
          </w:p>
          <w:p w14:paraId="0EAE4048">
            <w:pPr>
              <w:pStyle w:val="3"/>
              <w:spacing w:line="500" w:lineRule="exact"/>
              <w:jc w:val="both"/>
              <w:rPr>
                <w:sz w:val="28"/>
                <w:szCs w:val="28"/>
                <w:u w:val="none"/>
              </w:rPr>
            </w:pPr>
            <w:r>
              <w:rPr>
                <w:rFonts w:hint="eastAsia"/>
                <w:sz w:val="24"/>
                <w:szCs w:val="24"/>
                <w:u w:val="none"/>
              </w:rPr>
              <w:t>7.2026.2.16-2026.3.20——根据老师的指导意见修改论文论文并按照湖北大学知行学院本科毕业论文文本规范修改论文格式，符合规范后，交给论文指导老师检查，基本确立论文全稿。</w:t>
            </w:r>
          </w:p>
          <w:p w14:paraId="5077A9CA">
            <w:pPr>
              <w:pStyle w:val="3"/>
              <w:spacing w:line="500" w:lineRule="exact"/>
              <w:jc w:val="both"/>
              <w:rPr>
                <w:sz w:val="28"/>
                <w:szCs w:val="28"/>
                <w:u w:val="none"/>
              </w:rPr>
            </w:pPr>
            <w:r>
              <w:rPr>
                <w:rFonts w:hint="eastAsia"/>
                <w:sz w:val="24"/>
                <w:szCs w:val="24"/>
                <w:u w:val="none"/>
              </w:rPr>
              <w:t>8.2026.3.12-2026.03.31——完成论文定稿,自己在维普查重，文字重复率小于20%的论文可以参加答辩，并将所有与毕业论文有关的资料交给指导老师。</w:t>
            </w:r>
          </w:p>
        </w:tc>
      </w:tr>
    </w:tbl>
    <w:p w14:paraId="2A0FF01C">
      <w:pPr>
        <w:pStyle w:val="3"/>
        <w:spacing w:line="500" w:lineRule="exact"/>
        <w:rPr>
          <w:b/>
          <w:bCs/>
          <w:u w:val="single"/>
        </w:rPr>
      </w:pPr>
    </w:p>
    <w:p w14:paraId="24B09336">
      <w:pPr>
        <w:jc w:val="left"/>
        <w:rPr>
          <w:rFonts w:hint="eastAsia" w:asciiTheme="minorEastAsia" w:hAnsiTheme="minorEastAsia" w:eastAsiaTheme="minorEastAsia" w:cstheme="minorEastAsia"/>
          <w:kern w:val="0"/>
          <w:sz w:val="24"/>
          <w:u w:val="none"/>
          <w:vertAlign w:val="baseline"/>
          <w:lang w:val="en-US" w:eastAsia="zh-CN" w:bidi="ar"/>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2"/>
        <w:gridCol w:w="4272"/>
      </w:tblGrid>
      <w:tr w14:paraId="7DAC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tcPr>
          <w:p w14:paraId="328FAC1F">
            <w:pPr>
              <w:spacing w:line="360" w:lineRule="auto"/>
              <w:jc w:val="left"/>
              <w:rPr>
                <w:rFonts w:hint="eastAsia" w:asciiTheme="minorEastAsia" w:hAnsiTheme="minorEastAsia" w:eastAsiaTheme="minorEastAsia" w:cstheme="minorEastAsia"/>
                <w:kern w:val="0"/>
                <w:sz w:val="24"/>
                <w:u w:val="none"/>
                <w:vertAlign w:val="baseline"/>
                <w:lang w:val="en-US" w:eastAsia="zh-CN" w:bidi="ar"/>
              </w:rPr>
            </w:pPr>
            <w:r>
              <w:rPr>
                <w:rFonts w:hint="eastAsia"/>
                <w:sz w:val="24"/>
                <w:u w:val="none"/>
              </w:rPr>
              <w:t>指导教师：</w:t>
            </w:r>
          </w:p>
        </w:tc>
        <w:tc>
          <w:tcPr>
            <w:tcW w:w="4272" w:type="dxa"/>
            <w:tcBorders>
              <w:top w:val="nil"/>
              <w:left w:val="nil"/>
              <w:bottom w:val="nil"/>
              <w:right w:val="nil"/>
            </w:tcBorders>
          </w:tcPr>
          <w:p w14:paraId="28B6683D">
            <w:pPr>
              <w:spacing w:line="360" w:lineRule="auto"/>
              <w:jc w:val="left"/>
              <w:rPr>
                <w:rFonts w:hint="eastAsia" w:asciiTheme="minorEastAsia" w:hAnsiTheme="minorEastAsia" w:eastAsiaTheme="minorEastAsia" w:cstheme="minorEastAsia"/>
                <w:kern w:val="0"/>
                <w:sz w:val="24"/>
                <w:u w:val="none"/>
                <w:vertAlign w:val="baseline"/>
                <w:lang w:val="en-US" w:eastAsia="zh-CN" w:bidi="ar"/>
              </w:rPr>
            </w:pPr>
            <w:r>
              <w:rPr>
                <w:rFonts w:hint="eastAsia"/>
                <w:sz w:val="24"/>
                <w:u w:val="none"/>
              </w:rPr>
              <w:t>教研室主任：</w:t>
            </w:r>
          </w:p>
        </w:tc>
      </w:tr>
      <w:tr w14:paraId="3A72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tcPr>
          <w:p w14:paraId="5D0DE6FD">
            <w:pPr>
              <w:spacing w:line="360" w:lineRule="auto"/>
              <w:jc w:val="left"/>
              <w:rPr>
                <w:rFonts w:hint="eastAsia" w:asciiTheme="minorEastAsia" w:hAnsiTheme="minorEastAsia" w:eastAsiaTheme="minorEastAsia" w:cstheme="minorEastAsia"/>
                <w:kern w:val="0"/>
                <w:sz w:val="24"/>
                <w:u w:val="none"/>
                <w:vertAlign w:val="baseline"/>
                <w:lang w:val="en-US" w:eastAsia="zh-CN" w:bidi="ar"/>
              </w:rPr>
            </w:pPr>
            <w:r>
              <w:rPr>
                <w:rFonts w:hint="eastAsia" w:hAnsi="宋体" w:cs="宋体"/>
                <w:kern w:val="0"/>
                <w:sz w:val="24"/>
                <w:u w:val="none"/>
                <w:lang w:bidi="ar"/>
              </w:rPr>
              <w:t>202</w:t>
            </w:r>
            <w:r>
              <w:rPr>
                <w:rFonts w:hint="eastAsia" w:hAnsi="宋体" w:cs="宋体"/>
                <w:kern w:val="0"/>
                <w:sz w:val="24"/>
                <w:u w:val="none"/>
                <w:lang w:val="en-US" w:eastAsia="zh-CN" w:bidi="ar"/>
              </w:rPr>
              <w:t>6</w:t>
            </w:r>
            <w:r>
              <w:rPr>
                <w:rFonts w:hint="eastAsia" w:hAnsi="宋体" w:cs="宋体"/>
                <w:kern w:val="0"/>
                <w:sz w:val="24"/>
                <w:u w:val="none"/>
                <w:lang w:bidi="ar"/>
              </w:rPr>
              <w:t>年</w:t>
            </w:r>
            <w:r>
              <w:rPr>
                <w:rFonts w:hint="eastAsia" w:hAnsi="宋体" w:cs="宋体"/>
                <w:kern w:val="0"/>
                <w:sz w:val="24"/>
                <w:u w:val="none"/>
                <w:lang w:val="en-US" w:eastAsia="zh-CN" w:bidi="ar"/>
              </w:rPr>
              <w:t xml:space="preserve">  </w:t>
            </w:r>
            <w:r>
              <w:rPr>
                <w:rFonts w:hint="eastAsia" w:hAnsi="宋体" w:cs="宋体"/>
                <w:kern w:val="0"/>
                <w:sz w:val="24"/>
                <w:u w:val="none"/>
                <w:lang w:bidi="ar"/>
              </w:rPr>
              <w:t>月</w:t>
            </w:r>
            <w:r>
              <w:rPr>
                <w:rFonts w:hint="eastAsia" w:hAnsi="宋体" w:cs="宋体"/>
                <w:kern w:val="0"/>
                <w:sz w:val="24"/>
                <w:u w:val="none"/>
                <w:lang w:val="en-US" w:eastAsia="zh-CN" w:bidi="ar"/>
              </w:rPr>
              <w:t xml:space="preserve">  </w:t>
            </w:r>
            <w:r>
              <w:rPr>
                <w:rFonts w:hint="eastAsia" w:hAnsi="宋体" w:cs="宋体"/>
                <w:kern w:val="0"/>
                <w:sz w:val="24"/>
                <w:u w:val="none"/>
                <w:lang w:bidi="ar"/>
              </w:rPr>
              <w:t>日</w:t>
            </w:r>
          </w:p>
        </w:tc>
        <w:tc>
          <w:tcPr>
            <w:tcW w:w="4272" w:type="dxa"/>
            <w:tcBorders>
              <w:top w:val="nil"/>
              <w:left w:val="nil"/>
              <w:bottom w:val="nil"/>
              <w:right w:val="nil"/>
            </w:tcBorders>
          </w:tcPr>
          <w:p w14:paraId="79678E3C">
            <w:pPr>
              <w:spacing w:line="360" w:lineRule="auto"/>
              <w:jc w:val="left"/>
              <w:rPr>
                <w:rFonts w:hint="eastAsia" w:asciiTheme="minorEastAsia" w:hAnsiTheme="minorEastAsia" w:eastAsiaTheme="minorEastAsia" w:cstheme="minorEastAsia"/>
                <w:kern w:val="0"/>
                <w:sz w:val="24"/>
                <w:u w:val="none"/>
                <w:vertAlign w:val="baseline"/>
                <w:lang w:val="en-US" w:eastAsia="zh-CN" w:bidi="ar"/>
              </w:rPr>
            </w:pPr>
            <w:r>
              <w:rPr>
                <w:rFonts w:hint="eastAsia"/>
                <w:sz w:val="24"/>
                <w:szCs w:val="24"/>
                <w:u w:val="none"/>
              </w:rPr>
              <w:t>2026年</w:t>
            </w:r>
            <w:r>
              <w:rPr>
                <w:rFonts w:hint="eastAsia"/>
                <w:sz w:val="24"/>
                <w:szCs w:val="24"/>
                <w:u w:val="none"/>
                <w:lang w:val="en-US" w:eastAsia="zh-CN"/>
              </w:rPr>
              <w:t xml:space="preserve">  </w:t>
            </w:r>
            <w:r>
              <w:rPr>
                <w:rFonts w:hint="eastAsia"/>
                <w:sz w:val="24"/>
                <w:szCs w:val="24"/>
                <w:u w:val="none"/>
              </w:rPr>
              <w:t>月</w:t>
            </w:r>
            <w:r>
              <w:rPr>
                <w:rFonts w:hint="eastAsia"/>
                <w:sz w:val="24"/>
                <w:szCs w:val="24"/>
                <w:u w:val="none"/>
                <w:lang w:val="en-US" w:eastAsia="zh-CN"/>
              </w:rPr>
              <w:t xml:space="preserve">  </w:t>
            </w:r>
            <w:r>
              <w:rPr>
                <w:rFonts w:hint="eastAsia"/>
                <w:sz w:val="24"/>
                <w:szCs w:val="24"/>
                <w:u w:val="none"/>
              </w:rPr>
              <w:t>日</w:t>
            </w:r>
          </w:p>
        </w:tc>
      </w:tr>
    </w:tbl>
    <w:p w14:paraId="6CEC6347">
      <w:pPr>
        <w:jc w:val="left"/>
        <w:rPr>
          <w:rFonts w:hint="eastAsia" w:hAnsi="宋体" w:eastAsia="宋体" w:cs="宋体"/>
          <w:kern w:val="0"/>
          <w:sz w:val="24"/>
          <w:u w:val="none"/>
          <w:lang w:val="en-US" w:eastAsia="zh-CN" w:bidi="ar"/>
        </w:rPr>
      </w:pPr>
      <w:r>
        <w:rPr>
          <w:rFonts w:hint="eastAsia" w:asciiTheme="minorEastAsia" w:hAnsiTheme="minorEastAsia" w:eastAsiaTheme="minorEastAsia" w:cstheme="minorEastAsia"/>
          <w:kern w:val="0"/>
          <w:sz w:val="24"/>
          <w:u w:val="none"/>
          <w:lang w:val="en-US" w:eastAsia="zh-CN" w:bidi="ar"/>
        </w:rPr>
        <w:t xml:space="preserve">                </w:t>
      </w:r>
      <w:bookmarkStart w:id="0" w:name="_GoBack"/>
      <w:bookmarkEnd w:id="0"/>
    </w:p>
    <w:sectPr>
      <w:headerReference r:id="rId5" w:type="first"/>
      <w:footerReference r:id="rId7" w:type="first"/>
      <w:headerReference r:id="rId3" w:type="default"/>
      <w:headerReference r:id="rId4" w:type="even"/>
      <w:footerReference r:id="rId6" w:type="even"/>
      <w:pgSz w:w="11164" w:h="15485"/>
      <w:pgMar w:top="1418" w:right="1418" w:bottom="1418" w:left="1418"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3521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CD3FD">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C0E81">
    <w:pPr>
      <w:pStyle w:val="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5ADA8">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C5D69">
    <w:pPr>
      <w:pStyle w:val="6"/>
    </w:pPr>
    <w:r>
      <w:rPr>
        <w:sz w:val="18"/>
      </w:rPr>
      <w:pict>
        <v:shape id="_x0000_s4102" o:spid="_x0000_s4102" o:spt="136" type="#_x0000_t136" style="position:absolute;left:0pt;height:70.05pt;width:517.2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湖北大学知行学院" style="font-family:幼圆;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2E6E2C"/>
    <w:multiLevelType w:val="singleLevel"/>
    <w:tmpl w:val="482E6E2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8C3"/>
    <w:rsid w:val="0006192A"/>
    <w:rsid w:val="000A2279"/>
    <w:rsid w:val="000B3439"/>
    <w:rsid w:val="000C3D54"/>
    <w:rsid w:val="000E0D1D"/>
    <w:rsid w:val="001669EB"/>
    <w:rsid w:val="00192725"/>
    <w:rsid w:val="0019285F"/>
    <w:rsid w:val="00250C9D"/>
    <w:rsid w:val="00331DD4"/>
    <w:rsid w:val="003F1964"/>
    <w:rsid w:val="00463F1F"/>
    <w:rsid w:val="00466F78"/>
    <w:rsid w:val="004834B4"/>
    <w:rsid w:val="004B1663"/>
    <w:rsid w:val="004C07F0"/>
    <w:rsid w:val="004C6C83"/>
    <w:rsid w:val="004E505F"/>
    <w:rsid w:val="004E52BE"/>
    <w:rsid w:val="0050523B"/>
    <w:rsid w:val="00506D16"/>
    <w:rsid w:val="00512447"/>
    <w:rsid w:val="00550837"/>
    <w:rsid w:val="00565676"/>
    <w:rsid w:val="005855F0"/>
    <w:rsid w:val="00597ED7"/>
    <w:rsid w:val="006138C3"/>
    <w:rsid w:val="00684DD1"/>
    <w:rsid w:val="006969A1"/>
    <w:rsid w:val="006D5748"/>
    <w:rsid w:val="00725C88"/>
    <w:rsid w:val="00786F2D"/>
    <w:rsid w:val="008438D3"/>
    <w:rsid w:val="008465C5"/>
    <w:rsid w:val="008A2513"/>
    <w:rsid w:val="008A35BE"/>
    <w:rsid w:val="008A45F6"/>
    <w:rsid w:val="008B38EA"/>
    <w:rsid w:val="008D0C22"/>
    <w:rsid w:val="008F615D"/>
    <w:rsid w:val="00907883"/>
    <w:rsid w:val="00922A66"/>
    <w:rsid w:val="00964095"/>
    <w:rsid w:val="009956AA"/>
    <w:rsid w:val="00AE6F3E"/>
    <w:rsid w:val="00B10B08"/>
    <w:rsid w:val="00B47FCD"/>
    <w:rsid w:val="00BF5B4A"/>
    <w:rsid w:val="00BF66EE"/>
    <w:rsid w:val="00C03590"/>
    <w:rsid w:val="00C07067"/>
    <w:rsid w:val="00C54F55"/>
    <w:rsid w:val="00C72510"/>
    <w:rsid w:val="00C73C98"/>
    <w:rsid w:val="00CA3588"/>
    <w:rsid w:val="00CA530A"/>
    <w:rsid w:val="00CB5F5B"/>
    <w:rsid w:val="00CD3BBE"/>
    <w:rsid w:val="00D441DC"/>
    <w:rsid w:val="00E26607"/>
    <w:rsid w:val="00E3405A"/>
    <w:rsid w:val="00E4459E"/>
    <w:rsid w:val="00EB60B2"/>
    <w:rsid w:val="00EF4665"/>
    <w:rsid w:val="00F215EB"/>
    <w:rsid w:val="00F40273"/>
    <w:rsid w:val="00F6438C"/>
    <w:rsid w:val="00F835AF"/>
    <w:rsid w:val="00F85640"/>
    <w:rsid w:val="00FE17BD"/>
    <w:rsid w:val="03EF4E10"/>
    <w:rsid w:val="060C68AF"/>
    <w:rsid w:val="061A5470"/>
    <w:rsid w:val="06F3181D"/>
    <w:rsid w:val="07E15B19"/>
    <w:rsid w:val="089112ED"/>
    <w:rsid w:val="09022D63"/>
    <w:rsid w:val="0AD35BED"/>
    <w:rsid w:val="0C1D53EF"/>
    <w:rsid w:val="0C8E2713"/>
    <w:rsid w:val="0D58062B"/>
    <w:rsid w:val="0DDC300B"/>
    <w:rsid w:val="0E083E00"/>
    <w:rsid w:val="0E217479"/>
    <w:rsid w:val="0E370B89"/>
    <w:rsid w:val="0E3E2DD7"/>
    <w:rsid w:val="0F784FB5"/>
    <w:rsid w:val="12687563"/>
    <w:rsid w:val="15B556F5"/>
    <w:rsid w:val="17494A75"/>
    <w:rsid w:val="18B43502"/>
    <w:rsid w:val="1B2F4F14"/>
    <w:rsid w:val="1D4B5AB7"/>
    <w:rsid w:val="1E6C3F37"/>
    <w:rsid w:val="1F15637C"/>
    <w:rsid w:val="204131A1"/>
    <w:rsid w:val="22422E41"/>
    <w:rsid w:val="26B75F6B"/>
    <w:rsid w:val="26C50688"/>
    <w:rsid w:val="2AAF6413"/>
    <w:rsid w:val="2B2636BF"/>
    <w:rsid w:val="2EB01C1E"/>
    <w:rsid w:val="30330D58"/>
    <w:rsid w:val="31C003CA"/>
    <w:rsid w:val="32645ABA"/>
    <w:rsid w:val="333205D2"/>
    <w:rsid w:val="33751688"/>
    <w:rsid w:val="3489363D"/>
    <w:rsid w:val="35FB6AB3"/>
    <w:rsid w:val="36BD5820"/>
    <w:rsid w:val="3A8328DC"/>
    <w:rsid w:val="3ACD1DA9"/>
    <w:rsid w:val="3B250F34"/>
    <w:rsid w:val="3BB371F1"/>
    <w:rsid w:val="3CE477F3"/>
    <w:rsid w:val="3D9B1CEB"/>
    <w:rsid w:val="3DF84269"/>
    <w:rsid w:val="3EC86B10"/>
    <w:rsid w:val="3EDC6A5F"/>
    <w:rsid w:val="41320BB8"/>
    <w:rsid w:val="41911D83"/>
    <w:rsid w:val="429F227D"/>
    <w:rsid w:val="43AC742C"/>
    <w:rsid w:val="44FC39B7"/>
    <w:rsid w:val="465774CF"/>
    <w:rsid w:val="49C24296"/>
    <w:rsid w:val="49EC224C"/>
    <w:rsid w:val="4D061ED0"/>
    <w:rsid w:val="4D573E80"/>
    <w:rsid w:val="543842E0"/>
    <w:rsid w:val="544467E1"/>
    <w:rsid w:val="58355FB7"/>
    <w:rsid w:val="58A81A34"/>
    <w:rsid w:val="593257A1"/>
    <w:rsid w:val="5C3F26AF"/>
    <w:rsid w:val="5D9F2CDA"/>
    <w:rsid w:val="5E1E4546"/>
    <w:rsid w:val="5F903222"/>
    <w:rsid w:val="60C82547"/>
    <w:rsid w:val="611E2432"/>
    <w:rsid w:val="63B21A2C"/>
    <w:rsid w:val="640729C0"/>
    <w:rsid w:val="65C805BA"/>
    <w:rsid w:val="6A013E46"/>
    <w:rsid w:val="6A7E0847"/>
    <w:rsid w:val="6B013226"/>
    <w:rsid w:val="6B96571C"/>
    <w:rsid w:val="6EDD4201"/>
    <w:rsid w:val="6EE3511C"/>
    <w:rsid w:val="6F7F4719"/>
    <w:rsid w:val="704A4D27"/>
    <w:rsid w:val="731A30D6"/>
    <w:rsid w:val="733F0D8F"/>
    <w:rsid w:val="76EC2FDC"/>
    <w:rsid w:val="78877A28"/>
    <w:rsid w:val="79AB2CDA"/>
    <w:rsid w:val="79C36276"/>
    <w:rsid w:val="79FC7092"/>
    <w:rsid w:val="7B116B6D"/>
    <w:rsid w:val="7BBF4EF0"/>
    <w:rsid w:val="7C246D74"/>
    <w:rsid w:val="7C8B6DF3"/>
    <w:rsid w:val="7CA56520"/>
    <w:rsid w:val="7D221505"/>
    <w:rsid w:val="7D2D3A06"/>
    <w:rsid w:val="7E376053"/>
    <w:rsid w:val="7E5A082B"/>
    <w:rsid w:val="7F4E2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pPr>
      <w:spacing w:before="152" w:after="160"/>
    </w:pPr>
    <w:rPr>
      <w:rFonts w:ascii="Arial" w:hAnsi="Arial" w:eastAsia="黑体" w:cs="Arial"/>
      <w:sz w:val="20"/>
      <w:szCs w:val="20"/>
    </w:rPr>
  </w:style>
  <w:style w:type="paragraph" w:styleId="3">
    <w:name w:val="Plain Text"/>
    <w:basedOn w:val="1"/>
    <w:qFormat/>
    <w:uiPriority w:val="0"/>
    <w:rPr>
      <w:rFonts w:ascii="宋体" w:hAnsi="Courier New" w:cs="Courier New"/>
      <w:szCs w:val="21"/>
    </w:r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10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2104</Words>
  <Characters>3193</Characters>
  <Lines>35</Lines>
  <Paragraphs>35</Paragraphs>
  <TotalTime>2</TotalTime>
  <ScaleCrop>false</ScaleCrop>
  <LinksUpToDate>false</LinksUpToDate>
  <CharactersWithSpaces>3272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2025-04-27T14:45:00Z</dcterms:created>
  <dc:creator>微软用户</dc:creator>
  <cp:lastModifiedBy>Maggie</cp:lastModifiedBy>
  <cp:lastPrinted>2009-11-12T05:52:00Z</cp:lastPrinted>
  <dcterms:modified xsi:type="dcterms:W3CDTF">2026-09-24T14:15:11Z</dcterms:modified>
  <dc:title>三 江 学 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eyJoZGlkIjoiNTRiNjM3MTZhMGE0YjVhMWE0ZDZjMmM1M2IxYzEzOTAiLCJ1c2VySWQiOiIzODAwNzQwMDkifQ==</vt:lpwstr>
  </property>
  <property fmtid="{D5CDD505-2E9C-101B-9397-08002B2CF9AE}" pid="4" name="ICV">
    <vt:lpwstr>B4049443FB8F40C2B851359D6878AEE9_13</vt:lpwstr>
  </property>
</Properties>
</file>