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91DC6">
      <w:pPr>
        <w:rPr>
          <w:rFonts w:eastAsia="隶书"/>
          <w:vertAlign w:val="subscript"/>
        </w:rPr>
      </w:pPr>
    </w:p>
    <w:p w14:paraId="5653B111">
      <w:pPr>
        <w:rPr>
          <w:rFonts w:eastAsia="隶书"/>
        </w:rPr>
      </w:pPr>
    </w:p>
    <w:p w14:paraId="3D23B24F">
      <w:pPr>
        <w:jc w:val="center"/>
        <w:rPr>
          <w:rFonts w:hint="eastAsia" w:ascii="宋体" w:hAnsi="宋体"/>
          <w:b/>
          <w:sz w:val="52"/>
          <w:szCs w:val="52"/>
        </w:rPr>
      </w:pPr>
      <w:r>
        <w:rPr>
          <w:rFonts w:hint="eastAsia" w:ascii="宋体" w:hAnsi="宋体"/>
          <w:b/>
          <w:sz w:val="52"/>
          <w:szCs w:val="52"/>
        </w:rPr>
        <w:t>湖 北 大 学 知 行 学 院</w:t>
      </w:r>
    </w:p>
    <w:p w14:paraId="686E6EDB">
      <w:pPr>
        <w:jc w:val="center"/>
        <w:rPr>
          <w:rFonts w:hint="eastAsia" w:ascii="宋体" w:hAnsi="宋体"/>
          <w:b/>
          <w:sz w:val="52"/>
          <w:szCs w:val="52"/>
        </w:rPr>
      </w:pPr>
      <w:r>
        <w:rPr>
          <w:rFonts w:hint="eastAsia" w:ascii="宋体" w:hAnsi="宋体"/>
          <w:b/>
          <w:sz w:val="52"/>
          <w:szCs w:val="52"/>
        </w:rPr>
        <w:t>本科毕业论文（设计）开题报告</w:t>
      </w:r>
    </w:p>
    <w:p w14:paraId="156446E7">
      <w:pPr>
        <w:rPr>
          <w:rFonts w:hint="eastAsia" w:ascii="宋体" w:hAnsi="宋体"/>
          <w:sz w:val="32"/>
          <w:szCs w:val="32"/>
        </w:rPr>
      </w:pPr>
    </w:p>
    <w:p w14:paraId="255DE0A1">
      <w:pPr>
        <w:jc w:val="center"/>
        <w:rPr>
          <w:rFonts w:hint="eastAsia" w:ascii="宋体" w:hAnsi="宋体"/>
          <w:sz w:val="32"/>
          <w:szCs w:val="32"/>
        </w:rPr>
      </w:pPr>
    </w:p>
    <w:p w14:paraId="4D6684B4">
      <w:pPr>
        <w:rPr>
          <w:rFonts w:hint="eastAsia" w:ascii="宋体" w:hAnsi="宋体"/>
          <w:sz w:val="32"/>
          <w:szCs w:val="32"/>
        </w:rPr>
      </w:pPr>
    </w:p>
    <w:tbl>
      <w:tblPr>
        <w:tblStyle w:val="9"/>
        <w:tblW w:w="0" w:type="auto"/>
        <w:tblInd w:w="9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7"/>
        <w:gridCol w:w="5532"/>
      </w:tblGrid>
      <w:tr w14:paraId="2D966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trPr>
        <w:tc>
          <w:tcPr>
            <w:tcW w:w="1887" w:type="dxa"/>
            <w:vAlign w:val="bottom"/>
          </w:tcPr>
          <w:p w14:paraId="53197A9A">
            <w:pPr>
              <w:pStyle w:val="4"/>
              <w:jc w:val="left"/>
              <w:rPr>
                <w:b/>
                <w:sz w:val="28"/>
                <w:szCs w:val="28"/>
              </w:rPr>
            </w:pPr>
            <w:r>
              <w:rPr>
                <w:rFonts w:hint="eastAsia" w:hAnsi="宋体"/>
                <w:b/>
                <w:sz w:val="28"/>
                <w:szCs w:val="28"/>
              </w:rPr>
              <w:t>题    目</w:t>
            </w:r>
          </w:p>
        </w:tc>
        <w:tc>
          <w:tcPr>
            <w:tcW w:w="5532" w:type="dxa"/>
            <w:tcBorders>
              <w:bottom w:val="single" w:color="auto" w:sz="4" w:space="0"/>
            </w:tcBorders>
            <w:vAlign w:val="center"/>
          </w:tcPr>
          <w:p w14:paraId="00D2EB0D">
            <w:pPr>
              <w:pStyle w:val="4"/>
              <w:jc w:val="center"/>
              <w:rPr>
                <w:rFonts w:hint="eastAsia" w:hAnsi="宋体"/>
                <w:b/>
                <w:sz w:val="28"/>
                <w:szCs w:val="28"/>
              </w:rPr>
            </w:pPr>
            <w:r>
              <w:rPr>
                <w:rFonts w:hint="eastAsia" w:hAnsi="宋体"/>
                <w:b/>
                <w:sz w:val="28"/>
                <w:szCs w:val="28"/>
              </w:rPr>
              <w:t>湘西苗族纹样在“苗岭灵韵”文创设计中的应用</w:t>
            </w:r>
          </w:p>
        </w:tc>
      </w:tr>
      <w:tr w14:paraId="492FE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87" w:type="dxa"/>
            <w:vAlign w:val="bottom"/>
          </w:tcPr>
          <w:p w14:paraId="02F0F1FC">
            <w:pPr>
              <w:pStyle w:val="4"/>
              <w:jc w:val="left"/>
              <w:rPr>
                <w:b/>
                <w:sz w:val="28"/>
                <w:szCs w:val="28"/>
              </w:rPr>
            </w:pPr>
            <w:r>
              <w:rPr>
                <w:rFonts w:hint="eastAsia" w:hAnsi="宋体"/>
                <w:b/>
                <w:sz w:val="28"/>
                <w:szCs w:val="28"/>
              </w:rPr>
              <w:t>姓    名</w:t>
            </w:r>
          </w:p>
        </w:tc>
        <w:tc>
          <w:tcPr>
            <w:tcW w:w="5532" w:type="dxa"/>
            <w:tcBorders>
              <w:top w:val="single" w:color="auto" w:sz="4" w:space="0"/>
              <w:bottom w:val="single" w:color="auto" w:sz="4" w:space="0"/>
            </w:tcBorders>
            <w:vAlign w:val="center"/>
          </w:tcPr>
          <w:p w14:paraId="7D161DF6">
            <w:pPr>
              <w:pStyle w:val="4"/>
              <w:jc w:val="center"/>
              <w:rPr>
                <w:rFonts w:hint="eastAsia"/>
                <w:b/>
                <w:sz w:val="28"/>
                <w:szCs w:val="28"/>
              </w:rPr>
            </w:pPr>
            <w:r>
              <w:rPr>
                <w:rFonts w:hint="eastAsia"/>
                <w:b/>
                <w:sz w:val="28"/>
                <w:szCs w:val="28"/>
              </w:rPr>
              <w:t>石鑫烨</w:t>
            </w:r>
          </w:p>
        </w:tc>
      </w:tr>
      <w:tr w14:paraId="3FE57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1887" w:type="dxa"/>
            <w:vAlign w:val="bottom"/>
          </w:tcPr>
          <w:p w14:paraId="07248416">
            <w:pPr>
              <w:pStyle w:val="4"/>
              <w:jc w:val="left"/>
              <w:rPr>
                <w:b/>
                <w:sz w:val="28"/>
                <w:szCs w:val="28"/>
              </w:rPr>
            </w:pPr>
            <w:r>
              <w:rPr>
                <w:rFonts w:hint="eastAsia" w:hAnsi="宋体"/>
                <w:b/>
                <w:sz w:val="28"/>
                <w:szCs w:val="28"/>
              </w:rPr>
              <w:t>学    号</w:t>
            </w:r>
          </w:p>
        </w:tc>
        <w:tc>
          <w:tcPr>
            <w:tcW w:w="5532" w:type="dxa"/>
            <w:tcBorders>
              <w:top w:val="single" w:color="auto" w:sz="4" w:space="0"/>
              <w:bottom w:val="single" w:color="auto" w:sz="4" w:space="0"/>
            </w:tcBorders>
            <w:vAlign w:val="center"/>
          </w:tcPr>
          <w:p w14:paraId="2C225F10">
            <w:pPr>
              <w:pStyle w:val="4"/>
              <w:jc w:val="center"/>
              <w:rPr>
                <w:b/>
                <w:sz w:val="28"/>
                <w:szCs w:val="28"/>
              </w:rPr>
            </w:pPr>
            <w:r>
              <w:rPr>
                <w:rFonts w:hint="eastAsia"/>
                <w:b/>
                <w:sz w:val="28"/>
                <w:szCs w:val="28"/>
              </w:rPr>
              <w:t>2256590015</w:t>
            </w:r>
          </w:p>
        </w:tc>
      </w:tr>
      <w:tr w14:paraId="22DFD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87" w:type="dxa"/>
            <w:vAlign w:val="bottom"/>
          </w:tcPr>
          <w:p w14:paraId="648E5AC5">
            <w:pPr>
              <w:pStyle w:val="4"/>
              <w:jc w:val="left"/>
              <w:rPr>
                <w:b/>
                <w:sz w:val="28"/>
                <w:szCs w:val="28"/>
              </w:rPr>
            </w:pPr>
            <w:r>
              <w:rPr>
                <w:rFonts w:hint="eastAsia" w:hAnsi="宋体"/>
                <w:b/>
                <w:sz w:val="28"/>
                <w:szCs w:val="28"/>
              </w:rPr>
              <w:t>专业年级</w:t>
            </w:r>
          </w:p>
        </w:tc>
        <w:tc>
          <w:tcPr>
            <w:tcW w:w="5532" w:type="dxa"/>
            <w:tcBorders>
              <w:top w:val="single" w:color="auto" w:sz="4" w:space="0"/>
              <w:bottom w:val="single" w:color="auto" w:sz="4" w:space="0"/>
            </w:tcBorders>
            <w:vAlign w:val="center"/>
          </w:tcPr>
          <w:p w14:paraId="2697F29D">
            <w:pPr>
              <w:pStyle w:val="4"/>
              <w:jc w:val="center"/>
              <w:rPr>
                <w:rFonts w:hint="eastAsia"/>
                <w:b/>
                <w:sz w:val="28"/>
                <w:szCs w:val="28"/>
              </w:rPr>
            </w:pPr>
            <w:r>
              <w:rPr>
                <w:rFonts w:hint="eastAsia"/>
                <w:b/>
                <w:sz w:val="28"/>
                <w:szCs w:val="28"/>
              </w:rPr>
              <w:t>数媒2203ZB</w:t>
            </w:r>
          </w:p>
        </w:tc>
      </w:tr>
      <w:tr w14:paraId="1736A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1887" w:type="dxa"/>
            <w:vAlign w:val="bottom"/>
          </w:tcPr>
          <w:p w14:paraId="5F21209C">
            <w:pPr>
              <w:pStyle w:val="4"/>
              <w:jc w:val="left"/>
              <w:rPr>
                <w:b/>
                <w:sz w:val="28"/>
                <w:szCs w:val="28"/>
              </w:rPr>
            </w:pPr>
            <w:r>
              <w:rPr>
                <w:rFonts w:hint="eastAsia" w:hAnsi="宋体"/>
                <w:b/>
                <w:sz w:val="28"/>
                <w:szCs w:val="28"/>
              </w:rPr>
              <w:t>指导教师</w:t>
            </w:r>
          </w:p>
        </w:tc>
        <w:tc>
          <w:tcPr>
            <w:tcW w:w="5532" w:type="dxa"/>
            <w:tcBorders>
              <w:top w:val="single" w:color="auto" w:sz="4" w:space="0"/>
              <w:bottom w:val="single" w:color="auto" w:sz="4" w:space="0"/>
            </w:tcBorders>
            <w:vAlign w:val="center"/>
          </w:tcPr>
          <w:p w14:paraId="23749601">
            <w:pPr>
              <w:pStyle w:val="4"/>
              <w:jc w:val="center"/>
              <w:rPr>
                <w:rFonts w:hint="eastAsia"/>
                <w:b/>
                <w:sz w:val="28"/>
                <w:szCs w:val="28"/>
              </w:rPr>
            </w:pPr>
            <w:r>
              <w:rPr>
                <w:rFonts w:hint="eastAsia"/>
                <w:b/>
                <w:sz w:val="28"/>
                <w:szCs w:val="28"/>
              </w:rPr>
              <w:t>魏晓慧</w:t>
            </w:r>
          </w:p>
        </w:tc>
      </w:tr>
      <w:tr w14:paraId="163D2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887" w:type="dxa"/>
            <w:vAlign w:val="bottom"/>
          </w:tcPr>
          <w:p w14:paraId="378B9EB5">
            <w:pPr>
              <w:pStyle w:val="4"/>
              <w:jc w:val="left"/>
              <w:rPr>
                <w:b/>
                <w:sz w:val="28"/>
                <w:szCs w:val="28"/>
              </w:rPr>
            </w:pPr>
            <w:r>
              <w:rPr>
                <w:rFonts w:hint="eastAsia" w:hAnsi="宋体"/>
                <w:b/>
                <w:sz w:val="28"/>
                <w:szCs w:val="28"/>
              </w:rPr>
              <w:t>职    称</w:t>
            </w:r>
          </w:p>
        </w:tc>
        <w:tc>
          <w:tcPr>
            <w:tcW w:w="5532" w:type="dxa"/>
            <w:tcBorders>
              <w:top w:val="single" w:color="auto" w:sz="4" w:space="0"/>
              <w:bottom w:val="single" w:color="auto" w:sz="4" w:space="0"/>
            </w:tcBorders>
            <w:vAlign w:val="center"/>
          </w:tcPr>
          <w:p w14:paraId="74F6BDC7">
            <w:pPr>
              <w:pStyle w:val="4"/>
              <w:jc w:val="center"/>
              <w:rPr>
                <w:b/>
                <w:sz w:val="28"/>
                <w:szCs w:val="28"/>
              </w:rPr>
            </w:pPr>
            <w:r>
              <w:rPr>
                <w:rFonts w:hint="eastAsia"/>
                <w:b/>
                <w:sz w:val="28"/>
                <w:szCs w:val="28"/>
              </w:rPr>
              <w:t>副教授</w:t>
            </w:r>
          </w:p>
        </w:tc>
      </w:tr>
    </w:tbl>
    <w:p w14:paraId="44279989">
      <w:pPr>
        <w:rPr>
          <w:rFonts w:hint="eastAsia" w:ascii="宋体" w:hAnsi="宋体"/>
          <w:sz w:val="32"/>
          <w:szCs w:val="32"/>
        </w:rPr>
      </w:pPr>
    </w:p>
    <w:p w14:paraId="231D70EF">
      <w:pPr>
        <w:rPr>
          <w:rFonts w:hint="eastAsia" w:ascii="宋体" w:hAnsi="宋体"/>
          <w:sz w:val="32"/>
          <w:szCs w:val="32"/>
        </w:rPr>
      </w:pPr>
    </w:p>
    <w:p w14:paraId="614AD9FF">
      <w:pPr>
        <w:rPr>
          <w:rFonts w:eastAsia="方正舒体"/>
          <w:sz w:val="32"/>
          <w:u w:val="single"/>
        </w:rPr>
      </w:pPr>
    </w:p>
    <w:p w14:paraId="66DFC954">
      <w:pPr>
        <w:jc w:val="center"/>
        <w:rPr>
          <w:rFonts w:hint="eastAsia" w:ascii="宋体" w:hAnsi="宋体"/>
          <w:b/>
          <w:sz w:val="32"/>
          <w:szCs w:val="32"/>
        </w:rPr>
      </w:pPr>
      <w:r>
        <w:rPr>
          <w:rFonts w:hint="eastAsia" w:ascii="宋体" w:hAnsi="宋体"/>
          <w:b/>
          <w:sz w:val="32"/>
          <w:szCs w:val="32"/>
        </w:rPr>
        <w:t>202</w:t>
      </w:r>
      <w:r>
        <w:rPr>
          <w:rFonts w:hint="eastAsia" w:ascii="宋体" w:hAnsi="宋体"/>
          <w:b/>
          <w:sz w:val="32"/>
          <w:szCs w:val="32"/>
          <w:lang w:val="en-US" w:eastAsia="zh-CN"/>
        </w:rPr>
        <w:t>6</w:t>
      </w:r>
      <w:r>
        <w:rPr>
          <w:rFonts w:hint="eastAsia" w:ascii="宋体" w:hAnsi="宋体"/>
          <w:b/>
          <w:sz w:val="32"/>
          <w:szCs w:val="32"/>
        </w:rPr>
        <w:t>年</w:t>
      </w:r>
      <w:r>
        <w:rPr>
          <w:rFonts w:hint="eastAsia" w:ascii="宋体" w:hAnsi="宋体"/>
          <w:b/>
          <w:sz w:val="32"/>
          <w:szCs w:val="32"/>
          <w:lang w:val="en-US" w:eastAsia="zh-CN"/>
        </w:rPr>
        <w:t xml:space="preserve">  </w:t>
      </w:r>
      <w:r>
        <w:rPr>
          <w:rFonts w:hint="eastAsia" w:ascii="宋体" w:hAnsi="宋体"/>
          <w:b/>
          <w:sz w:val="32"/>
          <w:szCs w:val="32"/>
        </w:rPr>
        <w:t>月</w:t>
      </w:r>
      <w:r>
        <w:rPr>
          <w:rFonts w:hint="eastAsia" w:ascii="宋体" w:hAnsi="宋体"/>
          <w:b/>
          <w:sz w:val="32"/>
          <w:szCs w:val="32"/>
          <w:lang w:val="en-US" w:eastAsia="zh-CN"/>
        </w:rPr>
        <w:t xml:space="preserve">  </w:t>
      </w:r>
      <w:r>
        <w:rPr>
          <w:rFonts w:hint="eastAsia" w:ascii="宋体" w:hAnsi="宋体"/>
          <w:b/>
          <w:sz w:val="32"/>
          <w:szCs w:val="32"/>
        </w:rPr>
        <w:t>日</w:t>
      </w:r>
    </w:p>
    <w:p w14:paraId="2238CFB3">
      <w:pPr>
        <w:jc w:val="center"/>
        <w:rPr>
          <w:rFonts w:hint="eastAsia" w:ascii="宋体" w:hAnsi="宋体"/>
          <w:b/>
          <w:sz w:val="32"/>
          <w:szCs w:val="32"/>
        </w:rPr>
        <w:sectPr>
          <w:headerReference r:id="rId5" w:type="first"/>
          <w:headerReference r:id="rId3" w:type="default"/>
          <w:headerReference r:id="rId4" w:type="even"/>
          <w:pgSz w:w="11906" w:h="16838"/>
          <w:pgMar w:top="1440" w:right="1797" w:bottom="1440" w:left="1797" w:header="851" w:footer="992" w:gutter="0"/>
          <w:cols w:space="720" w:num="1"/>
          <w:docGrid w:type="lines" w:linePitch="312" w:charSpace="0"/>
        </w:sectPr>
      </w:pPr>
    </w:p>
    <w:tbl>
      <w:tblPr>
        <w:tblStyle w:val="8"/>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8"/>
      </w:tblGrid>
      <w:tr w14:paraId="57BB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08BA80B">
            <w:pPr>
              <w:rPr>
                <w:rFonts w:hint="eastAsia" w:ascii="宋体" w:hAnsi="宋体"/>
                <w:szCs w:val="21"/>
              </w:rPr>
            </w:pPr>
            <w:r>
              <w:rPr>
                <w:rFonts w:hint="eastAsia" w:ascii="宋体" w:hAnsi="宋体"/>
                <w:szCs w:val="21"/>
              </w:rPr>
              <w:t>1．本课题的研究目的及意义</w:t>
            </w:r>
          </w:p>
          <w:p w14:paraId="743093AA">
            <w:pPr>
              <w:ind w:firstLine="420" w:firstLineChars="200"/>
              <w:rPr>
                <w:rFonts w:hint="eastAsia" w:ascii="宋体" w:hAnsi="宋体"/>
                <w:szCs w:val="21"/>
              </w:rPr>
            </w:pPr>
            <w:r>
              <w:rPr>
                <w:rFonts w:hint="eastAsia" w:ascii="宋体" w:hAnsi="宋体"/>
                <w:szCs w:val="21"/>
              </w:rPr>
              <w:t>研究目的：通过梳理苗族纹样的文化内涵、艺术特征与符号体系，提炼其核心视觉语言与文化基因。基于现代设计理念与技术手段，构建传统纹样与当代生活需求相融合的设计转化策略，形成从文化解码、元素提取到产品设计实践的完整方法论。</w:t>
            </w:r>
          </w:p>
          <w:p w14:paraId="1E7204AD">
            <w:pPr>
              <w:ind w:firstLine="420" w:firstLineChars="200"/>
              <w:rPr>
                <w:rFonts w:hint="eastAsia" w:ascii="宋体" w:hAnsi="宋体"/>
                <w:szCs w:val="21"/>
              </w:rPr>
            </w:pPr>
            <w:r>
              <w:rPr>
                <w:rFonts w:hint="eastAsia" w:ascii="宋体" w:hAnsi="宋体"/>
                <w:szCs w:val="21"/>
              </w:rPr>
              <w:t>（一）对湘西苗族纹样的艺术特征（造型、构图、色彩）、文化内涵（神话传说、历史记忆、祈福寓意）进行系统性的梳理与归纳，建立清晰的纹样谱系，为后续设计应用提供坚实的理论依据和素材库。</w:t>
            </w:r>
          </w:p>
          <w:p w14:paraId="6BEC4186">
            <w:pPr>
              <w:ind w:firstLine="420" w:firstLineChars="200"/>
              <w:rPr>
                <w:rFonts w:hint="eastAsia" w:ascii="宋体" w:hAnsi="宋体"/>
                <w:szCs w:val="21"/>
              </w:rPr>
            </w:pPr>
            <w:r>
              <w:rPr>
                <w:rFonts w:hint="eastAsia" w:ascii="宋体" w:hAnsi="宋体"/>
                <w:szCs w:val="21"/>
              </w:rPr>
              <w:t>（二）通过案例分析，审视当前市场上应用湘西苗族纹样的文创产品现状，总结其成功经验，并精准找出存在的问题，如生搬硬套、设计同质化、脱离现代审美与生活方式等。</w:t>
            </w:r>
          </w:p>
          <w:p w14:paraId="7700E5D0">
            <w:pPr>
              <w:ind w:firstLine="420" w:firstLineChars="200"/>
              <w:rPr>
                <w:rFonts w:hint="eastAsia" w:ascii="宋体" w:hAnsi="宋体"/>
                <w:szCs w:val="21"/>
              </w:rPr>
            </w:pPr>
            <w:r>
              <w:rPr>
                <w:rFonts w:hint="eastAsia" w:ascii="宋体" w:hAnsi="宋体"/>
                <w:szCs w:val="21"/>
              </w:rPr>
              <w:t>探索一系列可行的创新应用方法</w:t>
            </w:r>
          </w:p>
          <w:p w14:paraId="4577360F">
            <w:pPr>
              <w:ind w:firstLine="420" w:firstLineChars="200"/>
              <w:rPr>
                <w:rFonts w:hint="eastAsia" w:ascii="宋体" w:hAnsi="宋体"/>
                <w:szCs w:val="21"/>
              </w:rPr>
            </w:pPr>
            <w:r>
              <w:rPr>
                <w:rFonts w:hint="eastAsia" w:ascii="宋体" w:hAnsi="宋体"/>
                <w:szCs w:val="21"/>
              </w:rPr>
              <w:t>研究意义：</w:t>
            </w:r>
          </w:p>
          <w:p w14:paraId="3B67D307">
            <w:pPr>
              <w:ind w:firstLine="420" w:firstLineChars="200"/>
              <w:rPr>
                <w:rFonts w:hint="eastAsia" w:ascii="宋体" w:hAnsi="宋体"/>
                <w:szCs w:val="21"/>
              </w:rPr>
            </w:pPr>
            <w:r>
              <w:rPr>
                <w:rFonts w:hint="eastAsia" w:ascii="宋体" w:hAnsi="宋体"/>
                <w:szCs w:val="21"/>
              </w:rPr>
              <w:t>（一）文化传承意义：湘西苗族纹样承载着苗族的历史记忆、宗教信仰与生活智慧，研究通过解构与重构传统纹样，将其文化内核融入现代设计，打破传统文化与当代审美的隔阂，为苗族文化的可持续传承提供新路径，增强民族文化认同与文化自信。</w:t>
            </w:r>
          </w:p>
          <w:p w14:paraId="1C2AC4E6">
            <w:pPr>
              <w:ind w:firstLine="420" w:firstLineChars="200"/>
              <w:rPr>
                <w:rFonts w:hint="eastAsia" w:ascii="宋体" w:hAnsi="宋体"/>
                <w:szCs w:val="21"/>
              </w:rPr>
            </w:pPr>
            <w:r>
              <w:rPr>
                <w:rFonts w:hint="eastAsia" w:ascii="宋体" w:hAnsi="宋体"/>
                <w:szCs w:val="21"/>
              </w:rPr>
              <w:t>（二）艺术创新意义：突破传统纹样的固有应用模式，探索将苗族纹样的几何造型、色彩体系与现代设计美学结合的可能性，为文创产品设计提供差异化的视觉语言，推动传统艺术元素在现代设计中的创新性发展。</w:t>
            </w:r>
          </w:p>
          <w:p w14:paraId="31245F73">
            <w:pPr>
              <w:ind w:firstLine="420" w:firstLineChars="200"/>
              <w:rPr>
                <w:rFonts w:hint="eastAsia" w:ascii="宋体" w:hAnsi="宋体"/>
                <w:szCs w:val="21"/>
              </w:rPr>
            </w:pPr>
            <w:r>
              <w:rPr>
                <w:rFonts w:hint="eastAsia" w:ascii="宋体" w:hAnsi="宋体"/>
                <w:szCs w:val="21"/>
              </w:rPr>
              <w:t>经济与社会价值：文创产品作为文化与产业融合的载体，研究成果可助力湘西地区文旅产业升级，通过开发具有地域文化特色的高附加值产品，带动地方经济发展，促进乡村振兴；同时，为传统手工艺人、设计师及文创企业提供可借鉴的设计方法与商业路径，激发文化产业创新活力。</w:t>
            </w:r>
          </w:p>
        </w:tc>
      </w:tr>
      <w:tr w14:paraId="5459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7B1E15B8">
            <w:pPr>
              <w:rPr>
                <w:rFonts w:hint="eastAsia" w:ascii="宋体" w:hAnsi="宋体"/>
                <w:szCs w:val="21"/>
              </w:rPr>
            </w:pPr>
            <w:r>
              <w:rPr>
                <w:rFonts w:hint="eastAsia" w:ascii="宋体" w:hAnsi="宋体"/>
                <w:szCs w:val="21"/>
              </w:rPr>
              <w:t>2．已了解的本课题国内外研究现状</w:t>
            </w:r>
          </w:p>
          <w:p w14:paraId="6ACB0DFB">
            <w:pPr>
              <w:ind w:firstLine="420" w:firstLineChars="200"/>
              <w:jc w:val="left"/>
              <w:rPr>
                <w:color w:val="000000"/>
              </w:rPr>
            </w:pPr>
            <w:r>
              <w:rPr>
                <w:rFonts w:hint="eastAsia" w:ascii="宋体" w:hAnsi="宋体"/>
                <w:szCs w:val="21"/>
              </w:rPr>
              <w:t>国内现状</w:t>
            </w:r>
          </w:p>
          <w:p w14:paraId="73F81753">
            <w:pPr>
              <w:ind w:firstLine="420" w:firstLineChars="200"/>
              <w:jc w:val="left"/>
              <w:rPr>
                <w:color w:val="000000"/>
              </w:rPr>
            </w:pPr>
            <w:r>
              <w:rPr>
                <w:rFonts w:hint="eastAsia" w:ascii="宋体" w:hAnsi="宋体"/>
                <w:szCs w:val="21"/>
              </w:rPr>
              <w:t>（一）理论研究：国内学术界对湘西苗族纹样在现代设计中的应用有较为深入的研究，探讨了其理论依据、应用方法等。指出湘西苗绣纹样应用于现代产品设计中存在纹样设计生搬硬套、图案大同小异等问题。同时，也有研究关注到数字化技术对苗族纹样传承与转化的作用，如通过虚拟现实、增强现实等技术打造沉浸式体验空间，创新传播方式。</w:t>
            </w:r>
          </w:p>
          <w:p w14:paraId="33B3227A">
            <w:pPr>
              <w:ind w:firstLine="420" w:firstLineChars="200"/>
              <w:jc w:val="left"/>
              <w:rPr>
                <w:color w:val="000000"/>
              </w:rPr>
            </w:pPr>
            <w:r>
              <w:rPr>
                <w:rFonts w:hint="eastAsia" w:ascii="宋体" w:hAnsi="宋体"/>
                <w:szCs w:val="21"/>
              </w:rPr>
              <w:t>（二）设计实践：许多设计师致力于将苗族纹样与现代表达方式相结合，创造出既具传统韵味又不失现代感的产品。</w:t>
            </w:r>
          </w:p>
          <w:p w14:paraId="39BE8363">
            <w:pPr>
              <w:ind w:firstLine="420" w:firstLineChars="200"/>
              <w:jc w:val="left"/>
              <w:rPr>
                <w:color w:val="000000"/>
              </w:rPr>
            </w:pPr>
            <w:r>
              <w:rPr>
                <w:rFonts w:hint="eastAsia" w:ascii="宋体" w:hAnsi="宋体"/>
                <w:szCs w:val="21"/>
              </w:rPr>
              <w:t>例如，文创设计以苗族刺绣中的典型纹样为元素，采用现代简约风格，应用于T恤、帆布包等生活物品上。</w:t>
            </w:r>
          </w:p>
          <w:p w14:paraId="313AEFD6">
            <w:pPr>
              <w:ind w:firstLine="420" w:firstLineChars="200"/>
              <w:jc w:val="left"/>
              <w:rPr>
                <w:color w:val="000000"/>
              </w:rPr>
            </w:pPr>
            <w:r>
              <w:rPr>
                <w:rFonts w:hint="eastAsia" w:ascii="宋体" w:hAnsi="宋体"/>
                <w:szCs w:val="21"/>
              </w:rPr>
              <w:t>苗族传统纹样进行视觉转化，采用异质同构的方法，形成新的图形，应用于迷宫、胸针等符合青年群体的产品载体上。</w:t>
            </w:r>
          </w:p>
          <w:p w14:paraId="4EDD93E9">
            <w:pPr>
              <w:ind w:firstLine="420" w:firstLineChars="200"/>
              <w:jc w:val="left"/>
              <w:rPr>
                <w:color w:val="000000"/>
              </w:rPr>
            </w:pPr>
            <w:r>
              <w:rPr>
                <w:rFonts w:hint="eastAsia" w:ascii="宋体" w:hAnsi="宋体"/>
                <w:szCs w:val="21"/>
              </w:rPr>
              <w:t>国外现状：</w:t>
            </w:r>
          </w:p>
          <w:p w14:paraId="383EB8DE">
            <w:pPr>
              <w:ind w:firstLine="420" w:firstLineChars="200"/>
              <w:jc w:val="left"/>
              <w:rPr>
                <w:rFonts w:hint="eastAsia" w:ascii="宋体" w:hAnsi="宋体"/>
                <w:szCs w:val="21"/>
              </w:rPr>
            </w:pPr>
            <w:r>
              <w:rPr>
                <w:rFonts w:hint="eastAsia" w:ascii="宋体" w:hAnsi="宋体"/>
                <w:szCs w:val="21"/>
              </w:rPr>
              <w:t>国外对于自身传统文化的保护和研究起步较早，在现代文创产品设计领域，也开始注重将传统纹样与现代设计理念相结合。如日本的传统纹样在现代产品设计中得到了广泛应用，其简洁、和谐的设计风格深受消费者喜爱。从相关研究来看，国外有研究通过“部分复制”和“组合与简化”等设计方法，将传统纺织图案的特征转化为新的瓷砖图案设计，为传统纹样的转化提供了新的思路 。不过，针对湘西苗族纹样的专门研究较少，主要是一些关于中国传统文化纹样在国际设计领域的一般性探讨。</w:t>
            </w:r>
          </w:p>
          <w:p w14:paraId="4CDF70E5">
            <w:pPr>
              <w:ind w:firstLine="420" w:firstLineChars="200"/>
              <w:jc w:val="left"/>
              <w:rPr>
                <w:rFonts w:hint="eastAsia" w:ascii="宋体" w:hAnsi="宋体"/>
                <w:szCs w:val="21"/>
              </w:rPr>
            </w:pPr>
          </w:p>
          <w:p w14:paraId="6BCC83ED">
            <w:pPr>
              <w:ind w:firstLine="420" w:firstLineChars="200"/>
              <w:jc w:val="left"/>
              <w:rPr>
                <w:rFonts w:hint="eastAsia" w:ascii="宋体" w:hAnsi="宋体"/>
                <w:szCs w:val="21"/>
              </w:rPr>
            </w:pPr>
          </w:p>
          <w:p w14:paraId="45C172B0">
            <w:pPr>
              <w:ind w:firstLine="420" w:firstLineChars="200"/>
              <w:jc w:val="left"/>
              <w:rPr>
                <w:rFonts w:hint="eastAsia" w:ascii="宋体" w:hAnsi="宋体"/>
                <w:szCs w:val="21"/>
              </w:rPr>
            </w:pPr>
          </w:p>
          <w:p w14:paraId="0353BA3D">
            <w:pPr>
              <w:ind w:firstLine="420" w:firstLineChars="200"/>
              <w:jc w:val="left"/>
              <w:rPr>
                <w:rFonts w:hint="eastAsia" w:ascii="宋体" w:hAnsi="宋体"/>
                <w:szCs w:val="21"/>
              </w:rPr>
            </w:pPr>
          </w:p>
        </w:tc>
      </w:tr>
      <w:tr w14:paraId="6AA9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4E6A84D">
            <w:pPr>
              <w:pStyle w:val="17"/>
              <w:numPr>
                <w:ilvl w:val="0"/>
                <w:numId w:val="1"/>
              </w:numPr>
              <w:ind w:firstLineChars="0"/>
              <w:jc w:val="left"/>
              <w:rPr>
                <w:rFonts w:hint="eastAsia" w:ascii="宋体" w:hAnsi="宋体"/>
                <w:szCs w:val="21"/>
              </w:rPr>
            </w:pPr>
            <w:r>
              <w:rPr>
                <w:rFonts w:hint="eastAsia" w:ascii="宋体" w:hAnsi="宋体"/>
                <w:szCs w:val="21"/>
              </w:rPr>
              <w:t>本课题的研究内容</w:t>
            </w:r>
          </w:p>
          <w:p w14:paraId="0EC02841">
            <w:pPr>
              <w:widowControl/>
              <w:ind w:firstLine="420" w:firstLineChars="200"/>
              <w:jc w:val="left"/>
              <w:rPr>
                <w:rFonts w:hint="eastAsia" w:ascii="宋体" w:hAnsi="宋体"/>
                <w:color w:val="FF0000"/>
                <w:szCs w:val="21"/>
              </w:rPr>
            </w:pPr>
            <w:r>
              <w:rPr>
                <w:rFonts w:hint="eastAsia" w:ascii="宋体" w:hAnsi="宋体" w:cs="宋体"/>
                <w:kern w:val="0"/>
                <w:szCs w:val="21"/>
              </w:rPr>
              <w:t>绪论</w:t>
            </w:r>
          </w:p>
          <w:p w14:paraId="26FF7780">
            <w:pPr>
              <w:widowControl/>
              <w:ind w:firstLine="420" w:firstLineChars="200"/>
              <w:jc w:val="left"/>
              <w:rPr>
                <w:rFonts w:hint="eastAsia" w:ascii="宋体" w:hAnsi="宋体"/>
                <w:color w:val="FF0000"/>
                <w:szCs w:val="21"/>
              </w:rPr>
            </w:pPr>
            <w:r>
              <w:rPr>
                <w:rFonts w:hint="eastAsia" w:ascii="宋体" w:hAnsi="宋体" w:cs="宋体"/>
                <w:kern w:val="0"/>
                <w:szCs w:val="21"/>
              </w:rPr>
              <w:t>一 湘西苗族纹样概述</w:t>
            </w:r>
          </w:p>
          <w:p w14:paraId="1AF0B9A5">
            <w:pPr>
              <w:widowControl/>
              <w:ind w:firstLine="420" w:firstLineChars="200"/>
              <w:jc w:val="left"/>
              <w:rPr>
                <w:rFonts w:hint="eastAsia" w:ascii="宋体" w:hAnsi="宋体"/>
                <w:color w:val="FF0000"/>
                <w:szCs w:val="21"/>
              </w:rPr>
            </w:pPr>
            <w:r>
              <w:rPr>
                <w:rFonts w:hint="eastAsia" w:ascii="宋体" w:hAnsi="宋体" w:cs="宋体"/>
                <w:kern w:val="0"/>
                <w:szCs w:val="21"/>
              </w:rPr>
              <w:t>（一）湘西苗族纹样文化背景</w:t>
            </w:r>
          </w:p>
          <w:p w14:paraId="790738F7">
            <w:pPr>
              <w:widowControl/>
              <w:ind w:firstLine="420" w:firstLineChars="200"/>
              <w:jc w:val="left"/>
              <w:rPr>
                <w:rFonts w:hint="eastAsia" w:ascii="宋体" w:hAnsi="宋体"/>
                <w:color w:val="FF0000"/>
                <w:szCs w:val="21"/>
              </w:rPr>
            </w:pPr>
            <w:r>
              <w:rPr>
                <w:rFonts w:hint="eastAsia" w:ascii="宋体" w:hAnsi="宋体" w:cs="宋体"/>
                <w:kern w:val="0"/>
                <w:szCs w:val="21"/>
              </w:rPr>
              <w:t>（二）纹样分类及其文化内涵</w:t>
            </w:r>
          </w:p>
          <w:p w14:paraId="4C3C5628">
            <w:pPr>
              <w:widowControl/>
              <w:ind w:firstLine="420" w:firstLineChars="200"/>
              <w:jc w:val="left"/>
              <w:rPr>
                <w:rFonts w:hint="eastAsia" w:ascii="宋体" w:hAnsi="宋体"/>
                <w:color w:val="FF0000"/>
                <w:szCs w:val="21"/>
              </w:rPr>
            </w:pPr>
            <w:r>
              <w:rPr>
                <w:rFonts w:hint="eastAsia" w:ascii="宋体" w:hAnsi="宋体" w:cs="宋体"/>
                <w:kern w:val="0"/>
                <w:szCs w:val="21"/>
              </w:rPr>
              <w:t>（三）纹样的构成形式</w:t>
            </w:r>
          </w:p>
          <w:p w14:paraId="0931632E">
            <w:pPr>
              <w:widowControl/>
              <w:ind w:firstLine="420" w:firstLineChars="200"/>
              <w:jc w:val="left"/>
              <w:rPr>
                <w:rFonts w:hint="eastAsia" w:ascii="宋体" w:hAnsi="宋体"/>
                <w:color w:val="FF0000"/>
                <w:szCs w:val="21"/>
              </w:rPr>
            </w:pPr>
            <w:r>
              <w:rPr>
                <w:rFonts w:hint="eastAsia" w:ascii="宋体" w:hAnsi="宋体" w:cs="宋体"/>
                <w:kern w:val="0"/>
                <w:szCs w:val="21"/>
              </w:rPr>
              <w:t>（四）纹样的色彩特征</w:t>
            </w:r>
          </w:p>
          <w:p w14:paraId="42BEF460">
            <w:pPr>
              <w:widowControl/>
              <w:ind w:firstLine="420" w:firstLineChars="200"/>
              <w:jc w:val="left"/>
              <w:rPr>
                <w:rFonts w:hint="eastAsia" w:ascii="宋体" w:hAnsi="宋体"/>
                <w:color w:val="FF0000"/>
                <w:szCs w:val="21"/>
              </w:rPr>
            </w:pPr>
            <w:r>
              <w:rPr>
                <w:rFonts w:hint="eastAsia" w:ascii="宋体" w:hAnsi="宋体" w:cs="宋体"/>
                <w:kern w:val="0"/>
                <w:szCs w:val="21"/>
              </w:rPr>
              <w:t>二苗族纹样在文创设计中的多元作用</w:t>
            </w:r>
          </w:p>
          <w:p w14:paraId="5C15A36E">
            <w:pPr>
              <w:widowControl/>
              <w:ind w:firstLine="420" w:firstLineChars="200"/>
              <w:jc w:val="left"/>
              <w:rPr>
                <w:rFonts w:hint="eastAsia" w:ascii="宋体" w:hAnsi="宋体"/>
                <w:color w:val="FF0000"/>
                <w:szCs w:val="21"/>
              </w:rPr>
            </w:pPr>
            <w:r>
              <w:rPr>
                <w:rFonts w:hint="eastAsia" w:ascii="宋体" w:hAnsi="宋体" w:cs="宋体"/>
                <w:kern w:val="0"/>
                <w:szCs w:val="21"/>
              </w:rPr>
              <w:t>（一）文化内核作用</w:t>
            </w:r>
          </w:p>
          <w:p w14:paraId="4D46AAEF">
            <w:pPr>
              <w:widowControl/>
              <w:ind w:firstLine="420" w:firstLineChars="200"/>
              <w:jc w:val="left"/>
              <w:rPr>
                <w:rFonts w:hint="eastAsia" w:ascii="宋体" w:hAnsi="宋体"/>
                <w:color w:val="FF0000"/>
                <w:szCs w:val="21"/>
              </w:rPr>
            </w:pPr>
            <w:r>
              <w:rPr>
                <w:rFonts w:hint="eastAsia" w:ascii="宋体" w:hAnsi="宋体" w:cs="宋体"/>
                <w:kern w:val="0"/>
                <w:szCs w:val="21"/>
              </w:rPr>
              <w:t>（二）美学赋能作用</w:t>
            </w:r>
          </w:p>
          <w:p w14:paraId="37F526E5">
            <w:pPr>
              <w:widowControl/>
              <w:ind w:firstLine="420" w:firstLineChars="200"/>
              <w:jc w:val="left"/>
              <w:rPr>
                <w:rFonts w:hint="eastAsia" w:ascii="宋体" w:hAnsi="宋体"/>
                <w:color w:val="FF0000"/>
                <w:szCs w:val="21"/>
              </w:rPr>
            </w:pPr>
            <w:r>
              <w:rPr>
                <w:rFonts w:hint="eastAsia" w:ascii="宋体" w:hAnsi="宋体" w:cs="宋体"/>
                <w:kern w:val="0"/>
                <w:szCs w:val="21"/>
              </w:rPr>
              <w:t>（三）情感连接作用</w:t>
            </w:r>
          </w:p>
          <w:p w14:paraId="0399CD1B">
            <w:pPr>
              <w:widowControl/>
              <w:ind w:firstLine="420" w:firstLineChars="200"/>
              <w:jc w:val="left"/>
              <w:rPr>
                <w:rFonts w:hint="eastAsia" w:ascii="宋体" w:hAnsi="宋体"/>
                <w:color w:val="FF0000"/>
                <w:szCs w:val="21"/>
              </w:rPr>
            </w:pPr>
            <w:r>
              <w:rPr>
                <w:rFonts w:hint="eastAsia" w:ascii="宋体" w:hAnsi="宋体" w:cs="宋体"/>
                <w:kern w:val="0"/>
                <w:szCs w:val="21"/>
              </w:rPr>
              <w:t>（四）商业增值作用</w:t>
            </w:r>
          </w:p>
          <w:p w14:paraId="3A38381B">
            <w:pPr>
              <w:widowControl/>
              <w:ind w:firstLine="420" w:firstLineChars="200"/>
              <w:jc w:val="left"/>
              <w:rPr>
                <w:rFonts w:hint="eastAsia" w:ascii="宋体" w:hAnsi="宋体"/>
                <w:color w:val="FF0000"/>
                <w:szCs w:val="21"/>
              </w:rPr>
            </w:pPr>
            <w:r>
              <w:rPr>
                <w:rFonts w:hint="eastAsia" w:ascii="宋体" w:hAnsi="宋体" w:cs="宋体"/>
                <w:kern w:val="0"/>
                <w:szCs w:val="21"/>
              </w:rPr>
              <w:t>三 “苗岭灵韵”文创产品设计原则</w:t>
            </w:r>
          </w:p>
          <w:p w14:paraId="60BBD279">
            <w:pPr>
              <w:widowControl/>
              <w:ind w:firstLine="420" w:firstLineChars="200"/>
              <w:jc w:val="left"/>
              <w:rPr>
                <w:rFonts w:hint="eastAsia" w:ascii="宋体" w:hAnsi="宋体"/>
                <w:color w:val="FF0000"/>
                <w:szCs w:val="21"/>
              </w:rPr>
            </w:pPr>
            <w:r>
              <w:rPr>
                <w:rFonts w:hint="eastAsia" w:ascii="宋体" w:hAnsi="宋体" w:cs="宋体"/>
                <w:kern w:val="0"/>
                <w:szCs w:val="21"/>
              </w:rPr>
              <w:t>（一）文化性原则</w:t>
            </w:r>
          </w:p>
          <w:p w14:paraId="1D48F8A5">
            <w:pPr>
              <w:widowControl/>
              <w:ind w:firstLine="420" w:firstLineChars="200"/>
              <w:jc w:val="left"/>
              <w:rPr>
                <w:rFonts w:hint="eastAsia" w:ascii="宋体" w:hAnsi="宋体"/>
                <w:color w:val="FF0000"/>
                <w:szCs w:val="21"/>
              </w:rPr>
            </w:pPr>
            <w:r>
              <w:rPr>
                <w:rFonts w:hint="eastAsia" w:ascii="宋体" w:hAnsi="宋体" w:cs="宋体"/>
                <w:kern w:val="0"/>
                <w:szCs w:val="21"/>
              </w:rPr>
              <w:t>（二）创意性原则</w:t>
            </w:r>
          </w:p>
          <w:p w14:paraId="1183A7C6">
            <w:pPr>
              <w:widowControl/>
              <w:ind w:firstLine="420" w:firstLineChars="200"/>
              <w:jc w:val="left"/>
              <w:rPr>
                <w:rFonts w:hint="eastAsia" w:ascii="宋体" w:hAnsi="宋体"/>
                <w:color w:val="FF0000"/>
                <w:szCs w:val="21"/>
              </w:rPr>
            </w:pPr>
            <w:r>
              <w:rPr>
                <w:rFonts w:hint="eastAsia" w:ascii="宋体" w:hAnsi="宋体" w:cs="宋体"/>
                <w:kern w:val="0"/>
                <w:szCs w:val="21"/>
              </w:rPr>
              <w:t>（三）实用性原则</w:t>
            </w:r>
          </w:p>
          <w:p w14:paraId="49E4740D">
            <w:pPr>
              <w:widowControl/>
              <w:ind w:firstLine="420" w:firstLineChars="200"/>
              <w:jc w:val="left"/>
              <w:rPr>
                <w:rFonts w:hint="eastAsia" w:ascii="宋体" w:hAnsi="宋体"/>
                <w:color w:val="FF0000"/>
                <w:szCs w:val="21"/>
              </w:rPr>
            </w:pPr>
            <w:r>
              <w:rPr>
                <w:rFonts w:hint="eastAsia" w:ascii="宋体" w:hAnsi="宋体" w:cs="宋体"/>
                <w:kern w:val="0"/>
                <w:szCs w:val="21"/>
              </w:rPr>
              <w:t>四 “苗岭灵韵”文创产品设计路径</w:t>
            </w:r>
          </w:p>
          <w:p w14:paraId="51A9FC36">
            <w:pPr>
              <w:widowControl/>
              <w:ind w:firstLine="420" w:firstLineChars="200"/>
              <w:jc w:val="left"/>
              <w:rPr>
                <w:rFonts w:hint="eastAsia" w:ascii="宋体" w:hAnsi="宋体"/>
                <w:color w:val="FF0000"/>
                <w:szCs w:val="21"/>
              </w:rPr>
            </w:pPr>
            <w:r>
              <w:rPr>
                <w:rFonts w:hint="eastAsia" w:ascii="宋体" w:hAnsi="宋体" w:cs="宋体"/>
                <w:kern w:val="0"/>
                <w:szCs w:val="21"/>
              </w:rPr>
              <w:t>（一）纹样提取</w:t>
            </w:r>
          </w:p>
          <w:p w14:paraId="57B5F79E">
            <w:pPr>
              <w:widowControl/>
              <w:ind w:firstLine="420" w:firstLineChars="200"/>
              <w:jc w:val="left"/>
              <w:rPr>
                <w:rFonts w:hint="eastAsia" w:ascii="宋体" w:hAnsi="宋体"/>
                <w:color w:val="FF0000"/>
                <w:szCs w:val="21"/>
              </w:rPr>
            </w:pPr>
            <w:r>
              <w:rPr>
                <w:rFonts w:hint="eastAsia" w:ascii="宋体" w:hAnsi="宋体" w:cs="宋体"/>
                <w:kern w:val="0"/>
                <w:szCs w:val="21"/>
              </w:rPr>
              <w:t>（二）纹样解构</w:t>
            </w:r>
          </w:p>
          <w:p w14:paraId="1F92A869">
            <w:pPr>
              <w:widowControl/>
              <w:ind w:firstLine="420" w:firstLineChars="200"/>
              <w:jc w:val="left"/>
              <w:rPr>
                <w:rFonts w:hint="eastAsia" w:ascii="宋体" w:hAnsi="宋体"/>
                <w:color w:val="FF0000"/>
                <w:szCs w:val="21"/>
              </w:rPr>
            </w:pPr>
            <w:r>
              <w:rPr>
                <w:rFonts w:hint="eastAsia" w:ascii="宋体" w:hAnsi="宋体" w:cs="宋体"/>
                <w:kern w:val="0"/>
                <w:szCs w:val="21"/>
              </w:rPr>
              <w:t>（三）纹样重构与组合</w:t>
            </w:r>
          </w:p>
          <w:p w14:paraId="087816EC">
            <w:pPr>
              <w:widowControl/>
              <w:ind w:firstLine="420" w:firstLineChars="200"/>
              <w:jc w:val="left"/>
              <w:rPr>
                <w:rFonts w:hint="eastAsia" w:ascii="宋体" w:hAnsi="宋体"/>
                <w:color w:val="FF0000"/>
                <w:szCs w:val="21"/>
              </w:rPr>
            </w:pPr>
            <w:r>
              <w:rPr>
                <w:rFonts w:hint="eastAsia" w:ascii="宋体" w:hAnsi="宋体" w:cs="宋体"/>
                <w:kern w:val="0"/>
                <w:szCs w:val="21"/>
              </w:rPr>
              <w:t>（四）色彩的提取与应用</w:t>
            </w:r>
          </w:p>
          <w:p w14:paraId="10D081DC">
            <w:pPr>
              <w:widowControl/>
              <w:ind w:firstLine="420" w:firstLineChars="200"/>
              <w:jc w:val="left"/>
              <w:rPr>
                <w:rFonts w:hint="eastAsia" w:ascii="宋体" w:hAnsi="宋体"/>
                <w:color w:val="FF0000"/>
                <w:szCs w:val="21"/>
              </w:rPr>
            </w:pPr>
            <w:r>
              <w:rPr>
                <w:rFonts w:hint="eastAsia" w:ascii="宋体" w:hAnsi="宋体" w:cs="宋体"/>
                <w:kern w:val="0"/>
                <w:szCs w:val="21"/>
              </w:rPr>
              <w:t>五“苗岭灵韵”纹样设计的应用</w:t>
            </w:r>
          </w:p>
          <w:p w14:paraId="5108A05E">
            <w:pPr>
              <w:widowControl/>
              <w:ind w:firstLine="420" w:firstLineChars="200"/>
              <w:jc w:val="left"/>
              <w:rPr>
                <w:rFonts w:hint="eastAsia" w:ascii="宋体" w:hAnsi="宋体"/>
                <w:color w:val="FF0000"/>
                <w:szCs w:val="21"/>
              </w:rPr>
            </w:pPr>
            <w:r>
              <w:rPr>
                <w:rFonts w:hint="eastAsia" w:ascii="宋体" w:hAnsi="宋体" w:cs="宋体"/>
                <w:kern w:val="0"/>
                <w:szCs w:val="21"/>
              </w:rPr>
              <w:t>（一）纹样在丝巾产品中的应用</w:t>
            </w:r>
          </w:p>
          <w:p w14:paraId="4A1A3445">
            <w:pPr>
              <w:widowControl/>
              <w:ind w:firstLine="420" w:firstLineChars="200"/>
              <w:jc w:val="left"/>
              <w:rPr>
                <w:rFonts w:hint="eastAsia" w:ascii="宋体" w:hAnsi="宋体"/>
                <w:color w:val="FF0000"/>
                <w:szCs w:val="21"/>
              </w:rPr>
            </w:pPr>
            <w:r>
              <w:rPr>
                <w:rFonts w:hint="eastAsia" w:ascii="宋体" w:hAnsi="宋体" w:cs="宋体"/>
                <w:kern w:val="0"/>
                <w:szCs w:val="21"/>
              </w:rPr>
              <w:t>（二）海报设计</w:t>
            </w:r>
          </w:p>
          <w:p w14:paraId="0D8A80FD">
            <w:pPr>
              <w:widowControl/>
              <w:ind w:firstLine="420" w:firstLineChars="200"/>
              <w:jc w:val="left"/>
              <w:rPr>
                <w:rFonts w:hint="eastAsia" w:ascii="宋体" w:hAnsi="宋体"/>
                <w:color w:val="FF0000"/>
                <w:szCs w:val="21"/>
              </w:rPr>
            </w:pPr>
            <w:r>
              <w:rPr>
                <w:rFonts w:hint="eastAsia" w:ascii="宋体" w:hAnsi="宋体" w:cs="宋体"/>
                <w:kern w:val="0"/>
                <w:szCs w:val="21"/>
              </w:rPr>
              <w:t>（三）系列延展品设计应用</w:t>
            </w:r>
          </w:p>
          <w:p w14:paraId="6FCC7581">
            <w:pPr>
              <w:widowControl/>
              <w:ind w:firstLine="420" w:firstLineChars="200"/>
              <w:jc w:val="left"/>
              <w:rPr>
                <w:rFonts w:hint="eastAsia" w:ascii="宋体" w:hAnsi="宋体"/>
                <w:color w:val="FF0000"/>
                <w:szCs w:val="21"/>
              </w:rPr>
            </w:pPr>
            <w:r>
              <w:rPr>
                <w:rFonts w:hint="eastAsia" w:ascii="宋体" w:hAnsi="宋体" w:cs="宋体"/>
                <w:kern w:val="0"/>
                <w:szCs w:val="21"/>
              </w:rPr>
              <w:t>结论</w:t>
            </w:r>
          </w:p>
          <w:p w14:paraId="46C80510">
            <w:pPr>
              <w:widowControl/>
              <w:ind w:firstLine="420" w:firstLineChars="200"/>
              <w:jc w:val="left"/>
              <w:rPr>
                <w:rFonts w:hint="eastAsia" w:ascii="宋体" w:hAnsi="宋体"/>
                <w:color w:val="FF0000"/>
                <w:szCs w:val="21"/>
              </w:rPr>
            </w:pPr>
            <w:r>
              <w:rPr>
                <w:rFonts w:hint="eastAsia" w:ascii="宋体" w:hAnsi="宋体" w:cs="宋体"/>
                <w:kern w:val="0"/>
                <w:szCs w:val="21"/>
              </w:rPr>
              <w:t>参考文献</w:t>
            </w:r>
            <w:bookmarkStart w:id="0" w:name="_GoBack"/>
            <w:bookmarkEnd w:id="0"/>
          </w:p>
        </w:tc>
      </w:tr>
      <w:tr w14:paraId="4AD6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1C7FE333">
            <w:pPr>
              <w:numPr>
                <w:ilvl w:val="0"/>
                <w:numId w:val="2"/>
              </w:numPr>
              <w:jc w:val="left"/>
              <w:rPr>
                <w:rFonts w:hint="eastAsia" w:ascii="宋体" w:hAnsi="宋体"/>
                <w:szCs w:val="21"/>
              </w:rPr>
            </w:pPr>
            <w:r>
              <w:rPr>
                <w:rFonts w:hint="eastAsia" w:ascii="宋体" w:hAnsi="宋体"/>
                <w:szCs w:val="21"/>
              </w:rPr>
              <w:t>本课题研究的实施方案、进度安排</w:t>
            </w:r>
          </w:p>
          <w:p w14:paraId="60527784">
            <w:pPr>
              <w:widowControl/>
              <w:ind w:firstLine="420" w:firstLineChars="200"/>
              <w:jc w:val="left"/>
              <w:rPr>
                <w:rFonts w:ascii="Arial" w:hAnsi="Arial" w:cs="Arial"/>
                <w:color w:val="000000"/>
              </w:rPr>
            </w:pPr>
            <w:r>
              <w:rPr>
                <w:rFonts w:hint="eastAsia" w:ascii="宋体" w:hAnsi="宋体" w:cs="宋体"/>
                <w:kern w:val="0"/>
                <w:szCs w:val="21"/>
              </w:rPr>
              <w:t>1.2025.06.01-2025.09.10——确定毕业设计选题，然后按要求在指导老师的指导下开始毕业论文(设计)工作。</w:t>
            </w:r>
          </w:p>
          <w:p w14:paraId="3280CE14">
            <w:pPr>
              <w:widowControl/>
              <w:ind w:firstLine="420" w:firstLineChars="200"/>
              <w:jc w:val="left"/>
              <w:rPr>
                <w:rFonts w:ascii="Arial" w:hAnsi="Arial" w:cs="Arial"/>
                <w:color w:val="000000"/>
              </w:rPr>
            </w:pPr>
            <w:r>
              <w:rPr>
                <w:rFonts w:hint="eastAsia" w:ascii="宋体" w:hAnsi="宋体" w:cs="宋体"/>
                <w:kern w:val="0"/>
                <w:szCs w:val="21"/>
              </w:rPr>
              <w:t>2.2025.09.11-2025.10.10——指导教师下发任务书，基于任务书，开始查阅论文相关文献资料和熟悉课题。</w:t>
            </w:r>
          </w:p>
          <w:p w14:paraId="32F7D3AA">
            <w:pPr>
              <w:widowControl/>
              <w:ind w:firstLine="420" w:firstLineChars="200"/>
              <w:jc w:val="left"/>
              <w:rPr>
                <w:rFonts w:ascii="Arial" w:hAnsi="Arial" w:cs="Arial"/>
                <w:color w:val="000000"/>
              </w:rPr>
            </w:pPr>
            <w:r>
              <w:rPr>
                <w:rFonts w:hint="eastAsia" w:ascii="宋体" w:hAnsi="宋体" w:cs="宋体"/>
                <w:kern w:val="0"/>
                <w:szCs w:val="21"/>
              </w:rPr>
              <w:t>3.2025.10.11-2025.10.28——拟定开题报告和文献综述等，并经过论文指导老师修订完成后报院专业审查小组认可，学院毕业论文工作委员会进行审定，参与开题报告会，确定开题。</w:t>
            </w:r>
          </w:p>
          <w:p w14:paraId="2BEC1335">
            <w:pPr>
              <w:widowControl/>
              <w:ind w:firstLine="420" w:firstLineChars="200"/>
              <w:jc w:val="left"/>
              <w:rPr>
                <w:rFonts w:ascii="Arial" w:hAnsi="Arial" w:cs="Arial"/>
                <w:color w:val="000000"/>
              </w:rPr>
            </w:pPr>
            <w:r>
              <w:rPr>
                <w:rFonts w:hint="eastAsia" w:ascii="宋体" w:hAnsi="宋体" w:cs="宋体"/>
                <w:kern w:val="0"/>
                <w:szCs w:val="21"/>
              </w:rPr>
              <w:t>4.2025.10.29-2025.12.31——在指导老师指导下，收集整理与课题有关的资料和数据，完成课题调研部分。</w:t>
            </w:r>
          </w:p>
          <w:p w14:paraId="30752AE7">
            <w:pPr>
              <w:widowControl/>
              <w:ind w:firstLine="420" w:firstLineChars="200"/>
              <w:jc w:val="left"/>
              <w:rPr>
                <w:rFonts w:ascii="Arial" w:hAnsi="Arial" w:cs="Arial"/>
                <w:color w:val="000000"/>
              </w:rPr>
            </w:pPr>
            <w:r>
              <w:rPr>
                <w:rFonts w:hint="eastAsia" w:ascii="宋体" w:hAnsi="宋体" w:cs="宋体"/>
                <w:kern w:val="0"/>
                <w:szCs w:val="21"/>
              </w:rPr>
              <w:t>5.2026.1.1-2026.1.31——将资料整合，在指导老师指导下完成论文初稿。</w:t>
            </w:r>
          </w:p>
          <w:p w14:paraId="3081D99D">
            <w:pPr>
              <w:widowControl/>
              <w:ind w:firstLine="420" w:firstLineChars="200"/>
              <w:jc w:val="left"/>
              <w:rPr>
                <w:rFonts w:ascii="Arial" w:hAnsi="Arial" w:cs="Arial"/>
                <w:color w:val="000000"/>
              </w:rPr>
            </w:pPr>
            <w:r>
              <w:rPr>
                <w:rFonts w:hint="eastAsia" w:ascii="宋体" w:hAnsi="宋体" w:cs="宋体"/>
                <w:kern w:val="0"/>
                <w:szCs w:val="21"/>
              </w:rPr>
              <w:t>6.2026.2.1-2026.2.15——根据指导老师的修改意见，修改论文，撰写论文期中检查表。</w:t>
            </w:r>
          </w:p>
          <w:p w14:paraId="0A46E65A">
            <w:pPr>
              <w:widowControl/>
              <w:ind w:firstLine="420" w:firstLineChars="200"/>
              <w:jc w:val="left"/>
              <w:rPr>
                <w:rFonts w:ascii="Arial" w:hAnsi="Arial" w:cs="Arial"/>
                <w:color w:val="000000"/>
              </w:rPr>
            </w:pPr>
            <w:r>
              <w:rPr>
                <w:rFonts w:hint="eastAsia" w:ascii="宋体" w:hAnsi="宋体" w:cs="宋体"/>
                <w:kern w:val="0"/>
                <w:szCs w:val="21"/>
              </w:rPr>
              <w:t>7.2026.2.16-2026.3.20——根据老师的指导意见修改论文论文并按照湖北大学知行学院本科毕业论文文本规范修改论文格式，符合规范后，交给论文指导老师检查，基本确立论文全稿。</w:t>
            </w:r>
          </w:p>
          <w:p w14:paraId="34243B7B">
            <w:pPr>
              <w:widowControl/>
              <w:ind w:firstLine="420" w:firstLineChars="200"/>
              <w:jc w:val="left"/>
              <w:rPr>
                <w:rFonts w:ascii="Arial" w:hAnsi="Arial" w:cs="Arial"/>
                <w:color w:val="000000"/>
              </w:rPr>
            </w:pPr>
            <w:r>
              <w:rPr>
                <w:rFonts w:hint="eastAsia" w:ascii="宋体" w:hAnsi="宋体" w:cs="宋体"/>
                <w:kern w:val="0"/>
                <w:szCs w:val="21"/>
              </w:rPr>
              <w:t>8.2026.3.12-2026.03.31——完成论文定稿,自己在维普查重，文字重复率小于20%的论文可以参加答辩，并将所有与毕业论文有关的资料交给指导老师。</w:t>
            </w:r>
          </w:p>
        </w:tc>
      </w:tr>
      <w:tr w14:paraId="6961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25EFAF73">
            <w:pPr>
              <w:numPr>
                <w:ilvl w:val="0"/>
                <w:numId w:val="2"/>
              </w:numPr>
              <w:rPr>
                <w:rFonts w:hint="eastAsia" w:ascii="宋体" w:hAnsi="宋体"/>
                <w:color w:val="000000"/>
                <w:szCs w:val="21"/>
              </w:rPr>
            </w:pPr>
            <w:r>
              <w:rPr>
                <w:rFonts w:hint="eastAsia" w:ascii="宋体" w:hAnsi="宋体"/>
                <w:color w:val="000000"/>
                <w:szCs w:val="21"/>
              </w:rPr>
              <w:t>已查阅的主要参考文献</w:t>
            </w:r>
          </w:p>
          <w:p w14:paraId="46CF38FA">
            <w:pPr>
              <w:ind w:firstLine="420" w:firstLineChars="200"/>
              <w:rPr>
                <w:rFonts w:hint="eastAsia" w:ascii="宋体" w:hAnsi="宋体"/>
                <w:color w:val="000000"/>
                <w:szCs w:val="21"/>
              </w:rPr>
            </w:pPr>
            <w:r>
              <w:rPr>
                <w:rFonts w:hint="eastAsia" w:ascii="宋体" w:hAnsi="宋体"/>
                <w:color w:val="000000"/>
                <w:szCs w:val="21"/>
              </w:rPr>
              <w:t>[1]方正,胡振江.湘西苗族文旅发展的策略[J].炎黄地理,2025,(07):93-96.</w:t>
            </w:r>
          </w:p>
          <w:p w14:paraId="7F356EC1">
            <w:pPr>
              <w:ind w:firstLine="420" w:firstLineChars="200"/>
              <w:rPr>
                <w:rFonts w:hint="eastAsia" w:ascii="宋体" w:hAnsi="宋体"/>
                <w:color w:val="000000"/>
                <w:szCs w:val="21"/>
              </w:rPr>
            </w:pPr>
            <w:r>
              <w:rPr>
                <w:rFonts w:hint="eastAsia" w:ascii="宋体" w:hAnsi="宋体"/>
                <w:color w:val="000000"/>
                <w:szCs w:val="21"/>
              </w:rPr>
              <w:t xml:space="preserve">[2]杨勇波.湘西苗绣传统设计文化研究[D].湖南大学,2023.DOI:10.27135/d.cnki.ghudu.2023.000516. </w:t>
            </w:r>
          </w:p>
          <w:p w14:paraId="332F8F0B">
            <w:pPr>
              <w:ind w:firstLine="420" w:firstLineChars="200"/>
              <w:rPr>
                <w:rFonts w:hint="eastAsia" w:ascii="宋体" w:hAnsi="宋体"/>
                <w:color w:val="000000"/>
                <w:szCs w:val="21"/>
              </w:rPr>
            </w:pPr>
            <w:r>
              <w:rPr>
                <w:rFonts w:hint="eastAsia" w:ascii="宋体" w:hAnsi="宋体"/>
                <w:color w:val="000000"/>
                <w:szCs w:val="21"/>
              </w:rPr>
              <w:t>[3]王文超.丹寨苗族蜡染纹样在贵州旅游文创中的应用研究[D].北京印刷学院,2025.DOI:10.26968/d.cnki.gbjyc.2025.000121.</w:t>
            </w:r>
          </w:p>
          <w:p w14:paraId="35D50280">
            <w:pPr>
              <w:ind w:firstLine="420" w:firstLineChars="200"/>
              <w:rPr>
                <w:rFonts w:hint="eastAsia" w:ascii="宋体" w:hAnsi="宋体"/>
                <w:color w:val="000000"/>
                <w:szCs w:val="21"/>
              </w:rPr>
            </w:pPr>
            <w:r>
              <w:rPr>
                <w:rFonts w:hint="eastAsia" w:ascii="宋体" w:hAnsi="宋体"/>
                <w:color w:val="000000"/>
                <w:szCs w:val="21"/>
              </w:rPr>
              <w:t>[4]张涛,滕欣玥.《纹脉相承——桂北壮族纹样再生计划》纹样设计及应用[J].印染,2025,51(08):112.DOI:CNKI:SUN:YIRA.0.2025-08-026.</w:t>
            </w:r>
          </w:p>
          <w:p w14:paraId="6EB7F55A">
            <w:pPr>
              <w:ind w:firstLine="420" w:firstLineChars="200"/>
              <w:rPr>
                <w:rFonts w:hint="eastAsia" w:ascii="宋体" w:hAnsi="宋体"/>
                <w:color w:val="000000"/>
                <w:szCs w:val="21"/>
              </w:rPr>
            </w:pPr>
            <w:r>
              <w:rPr>
                <w:rFonts w:hint="eastAsia" w:ascii="宋体" w:hAnsi="宋体"/>
                <w:color w:val="000000"/>
                <w:szCs w:val="21"/>
              </w:rPr>
              <w:t>[5][3]朱晨薇,聂磊明,易晓蜜.传统服饰纹样在文创产品设计中的应用[J].印染,2025,51(07):88-91.DOI:CNKI:SUN:YIRA.0.2025-07-019.</w:t>
            </w:r>
          </w:p>
          <w:p w14:paraId="6158E5DD">
            <w:pPr>
              <w:ind w:firstLine="420" w:firstLineChars="200"/>
              <w:rPr>
                <w:rFonts w:hint="eastAsia" w:ascii="宋体" w:hAnsi="宋体"/>
                <w:color w:val="000000"/>
                <w:szCs w:val="21"/>
              </w:rPr>
            </w:pPr>
            <w:r>
              <w:rPr>
                <w:rFonts w:hint="eastAsia" w:ascii="宋体" w:hAnsi="宋体"/>
                <w:color w:val="000000"/>
                <w:szCs w:val="21"/>
              </w:rPr>
              <w:t>[6][4]刘骏桥.湘西蓝印花布纹样在现代服装中的创新设计探索[J].上海服饰,2025,(07):45-47.DOI:CNKI:SUN:SHFS.0.2025-07-017.</w:t>
            </w:r>
          </w:p>
          <w:p w14:paraId="531166F1">
            <w:pPr>
              <w:ind w:firstLine="420" w:firstLineChars="200"/>
              <w:rPr>
                <w:rFonts w:hint="eastAsia" w:ascii="宋体" w:hAnsi="宋体"/>
                <w:color w:val="000000"/>
                <w:szCs w:val="21"/>
              </w:rPr>
            </w:pPr>
            <w:r>
              <w:rPr>
                <w:rFonts w:hint="eastAsia" w:ascii="宋体" w:hAnsi="宋体"/>
                <w:color w:val="000000"/>
                <w:szCs w:val="21"/>
              </w:rPr>
              <w:t>[7][5]王章叶,刘强生,杨津,等.“敦煌藻井纹样”系列非遗文创设计作品[J].丝绸,2025,62(07):150.DOI:CNKI:SUN:SICO.0.2025-07-020.</w:t>
            </w:r>
          </w:p>
          <w:p w14:paraId="00687A19">
            <w:pPr>
              <w:ind w:firstLine="420" w:firstLineChars="200"/>
              <w:rPr>
                <w:rFonts w:hint="eastAsia" w:ascii="宋体" w:hAnsi="宋体"/>
                <w:color w:val="000000"/>
                <w:szCs w:val="21"/>
              </w:rPr>
            </w:pPr>
            <w:r>
              <w:rPr>
                <w:rFonts w:hint="eastAsia" w:ascii="宋体" w:hAnsi="宋体"/>
                <w:color w:val="000000"/>
                <w:szCs w:val="21"/>
              </w:rPr>
              <w:t>[8][6]周颖,马德东.传统云肩纹样的符号解构与现代文创设计转化研究[J].辽宁丝绸,2025,(03):27-28+58.DOI:CNKI:SUN:LLSC.0.2025-03-010.</w:t>
            </w:r>
          </w:p>
          <w:p w14:paraId="3FE39A75">
            <w:pPr>
              <w:ind w:firstLine="420" w:firstLineChars="200"/>
              <w:rPr>
                <w:rFonts w:hint="eastAsia" w:ascii="宋体" w:hAnsi="宋体"/>
                <w:color w:val="000000"/>
                <w:szCs w:val="21"/>
              </w:rPr>
            </w:pPr>
            <w:r>
              <w:rPr>
                <w:rFonts w:hint="eastAsia" w:ascii="宋体" w:hAnsi="宋体"/>
                <w:color w:val="000000"/>
                <w:szCs w:val="21"/>
              </w:rPr>
              <w:t>[9][7]毕欣怡.中国传统吉祥纹样在国潮产品设计中的应用——以八吉祥纹为例[J].艺术教育,2025,(12):187-190.DOI:CNKI:SUN:YSJY.0.2025-12-044.</w:t>
            </w:r>
          </w:p>
          <w:p w14:paraId="1A159E8B">
            <w:pPr>
              <w:ind w:firstLine="420" w:firstLineChars="200"/>
              <w:rPr>
                <w:rFonts w:hint="eastAsia" w:ascii="宋体" w:hAnsi="宋体"/>
                <w:color w:val="000000"/>
                <w:szCs w:val="21"/>
              </w:rPr>
            </w:pPr>
            <w:r>
              <w:rPr>
                <w:rFonts w:hint="eastAsia" w:ascii="宋体" w:hAnsi="宋体"/>
                <w:color w:val="000000"/>
                <w:szCs w:val="21"/>
              </w:rPr>
              <w:t>[10][8]宗诚,宋铭涵.设计符号学理论视域下苗族传统纹样文创产品设计研究[J].大连大学学报,2025,46(03):109-117.DOI:CNKI:SUN:DALI.0.2025-03-014.</w:t>
            </w:r>
          </w:p>
          <w:p w14:paraId="147C6977">
            <w:pPr>
              <w:ind w:firstLine="420" w:firstLineChars="200"/>
              <w:rPr>
                <w:rFonts w:hint="eastAsia" w:ascii="宋体" w:hAnsi="宋体"/>
                <w:color w:val="000000"/>
                <w:szCs w:val="21"/>
              </w:rPr>
            </w:pPr>
            <w:r>
              <w:rPr>
                <w:rFonts w:hint="eastAsia" w:ascii="宋体" w:hAnsi="宋体"/>
                <w:color w:val="000000"/>
                <w:szCs w:val="21"/>
              </w:rPr>
              <w:t>[11][9]宗诚,宋铭涵.设计符号学理论视域下苗族传统纹样文创产品设计研究[J].大连大学学报,2025,46(03):109-117.DOI:CNKI:SUN:DALI.0.2025-03-014.</w:t>
            </w:r>
          </w:p>
          <w:p w14:paraId="7D7076A6">
            <w:pPr>
              <w:ind w:firstLine="420" w:firstLineChars="200"/>
              <w:rPr>
                <w:rFonts w:hint="eastAsia" w:ascii="宋体" w:hAnsi="宋体"/>
                <w:color w:val="000000"/>
                <w:szCs w:val="21"/>
              </w:rPr>
            </w:pPr>
            <w:r>
              <w:rPr>
                <w:rFonts w:hint="eastAsia" w:ascii="宋体" w:hAnsi="宋体"/>
                <w:color w:val="000000"/>
                <w:szCs w:val="21"/>
              </w:rPr>
              <w:t>[12]倪晨博.湘西苗族蜡染纹样在现代服装设计中的应用性研究[D].哈尔滨师范大学,2024.DOI:10.27064/d.cnki.ghasu.2024.000072.</w:t>
            </w:r>
          </w:p>
          <w:p w14:paraId="3384E607">
            <w:pPr>
              <w:ind w:firstLine="420" w:firstLineChars="200"/>
              <w:rPr>
                <w:rFonts w:hint="eastAsia" w:ascii="宋体" w:hAnsi="宋体"/>
                <w:color w:val="000000"/>
                <w:szCs w:val="21"/>
              </w:rPr>
            </w:pPr>
            <w:r>
              <w:rPr>
                <w:rFonts w:hint="eastAsia" w:ascii="宋体" w:hAnsi="宋体"/>
                <w:color w:val="000000"/>
                <w:szCs w:val="21"/>
              </w:rPr>
              <w:t>[13]Legino R, Forrest D. Symmetrical motif design in Malaysian Batik sarong patterns[C]//InternationalColloquium of Art and Design Education Research （i-CADER 2014）. Springer Singapore, 2015: 695-701.</w:t>
            </w:r>
          </w:p>
          <w:p w14:paraId="7A4D868B">
            <w:pPr>
              <w:ind w:firstLine="420" w:firstLineChars="200"/>
              <w:rPr>
                <w:rFonts w:hint="eastAsia" w:ascii="宋体" w:hAnsi="宋体"/>
                <w:color w:val="000000"/>
                <w:szCs w:val="21"/>
              </w:rPr>
            </w:pPr>
            <w:r>
              <w:rPr>
                <w:rFonts w:hint="eastAsia" w:ascii="宋体" w:hAnsi="宋体"/>
                <w:color w:val="000000"/>
                <w:szCs w:val="21"/>
              </w:rPr>
              <w:t>[14]Young-Sin K .A Study on Miao People Batik Dyeing of Guizhou Province in China[J].Journal of Korean Traditional Costume, 2010, 13(2):63-79.</w:t>
            </w:r>
          </w:p>
        </w:tc>
      </w:tr>
      <w:tr w14:paraId="2A36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8" w:type="dxa"/>
          </w:tcPr>
          <w:p w14:paraId="44C9FD04">
            <w:pPr>
              <w:jc w:val="left"/>
              <w:rPr>
                <w:rFonts w:hint="eastAsia" w:ascii="宋体" w:hAnsi="宋体"/>
                <w:szCs w:val="21"/>
              </w:rPr>
            </w:pPr>
            <w:r>
              <w:rPr>
                <w:rFonts w:hint="eastAsia" w:ascii="宋体" w:hAnsi="宋体"/>
                <w:szCs w:val="21"/>
              </w:rPr>
              <w:t>指导教师意见</w:t>
            </w:r>
          </w:p>
          <w:p w14:paraId="11DD50FC">
            <w:pPr>
              <w:widowControl/>
              <w:ind w:firstLine="420" w:firstLineChars="200"/>
              <w:jc w:val="left"/>
              <w:rPr>
                <w:rFonts w:hint="eastAsia" w:ascii="宋体" w:hAnsi="宋体"/>
                <w:szCs w:val="21"/>
              </w:rPr>
            </w:pPr>
            <w:r>
              <w:rPr>
                <w:rFonts w:hint="eastAsia" w:ascii="宋体" w:hAnsi="宋体"/>
                <w:szCs w:val="21"/>
              </w:rPr>
              <w:t>同意开题</w:t>
            </w:r>
          </w:p>
          <w:p w14:paraId="7D7E2323">
            <w:pPr>
              <w:rPr>
                <w:rFonts w:hint="eastAsia" w:ascii="宋体" w:hAnsi="宋体"/>
                <w:szCs w:val="21"/>
              </w:rPr>
            </w:pPr>
          </w:p>
          <w:p w14:paraId="53F651F1">
            <w:pPr>
              <w:ind w:right="840"/>
              <w:jc w:val="right"/>
              <w:rPr>
                <w:rFonts w:hint="eastAsia"/>
              </w:rPr>
            </w:pPr>
            <w:r>
              <w:rPr>
                <w:rFonts w:hint="eastAsia"/>
              </w:rPr>
              <w:t>签名：</w:t>
            </w:r>
          </w:p>
          <w:p w14:paraId="531B5020">
            <w:pPr>
              <w:ind w:right="840"/>
              <w:jc w:val="right"/>
            </w:pPr>
            <w:r>
              <w:rPr>
                <w:rFonts w:hint="eastAsia"/>
              </w:rPr>
              <w:t xml:space="preserve">                                                       </w:t>
            </w:r>
          </w:p>
          <w:p w14:paraId="51740126">
            <w:pPr>
              <w:wordWrap w:val="0"/>
              <w:jc w:val="right"/>
              <w:rPr>
                <w:sz w:val="24"/>
              </w:rPr>
            </w:pPr>
            <w:r>
              <w:rPr>
                <w:rFonts w:hint="eastAsia" w:ascii="宋体" w:hAnsi="宋体"/>
                <w:szCs w:val="21"/>
              </w:rPr>
              <w:t>20</w:t>
            </w:r>
            <w:r>
              <w:rPr>
                <w:rFonts w:hint="eastAsia" w:ascii="宋体" w:hAnsi="宋体"/>
                <w:szCs w:val="21"/>
                <w:lang w:val="en-US" w:eastAsia="zh-CN"/>
              </w:rPr>
              <w:t>26</w:t>
            </w:r>
            <w:r>
              <w:rPr>
                <w:rFonts w:hint="eastAsia" w:ascii="宋体" w:hAnsi="宋体"/>
                <w:szCs w:val="21"/>
              </w:rPr>
              <w:t>年</w:t>
            </w:r>
            <w:r>
              <w:rPr>
                <w:rFonts w:hint="eastAsia" w:ascii="宋体" w:hAnsi="宋体"/>
                <w:szCs w:val="21"/>
                <w:lang w:val="en-US" w:eastAsia="zh-CN"/>
              </w:rPr>
              <w:t xml:space="preserve">  </w:t>
            </w:r>
            <w:r>
              <w:rPr>
                <w:rFonts w:hint="eastAsia" w:ascii="宋体" w:hAnsi="宋体"/>
                <w:szCs w:val="21"/>
              </w:rPr>
              <w:t>月</w:t>
            </w:r>
            <w:r>
              <w:rPr>
                <w:rFonts w:hint="eastAsia" w:ascii="宋体" w:hAnsi="宋体"/>
                <w:szCs w:val="21"/>
                <w:lang w:val="en-US" w:eastAsia="zh-CN"/>
              </w:rPr>
              <w:t xml:space="preserve">  </w:t>
            </w:r>
            <w:r>
              <w:rPr>
                <w:rFonts w:hint="eastAsia" w:ascii="宋体" w:hAnsi="宋体"/>
                <w:szCs w:val="21"/>
              </w:rPr>
              <w:t>日</w:t>
            </w:r>
          </w:p>
        </w:tc>
      </w:tr>
      <w:tr w14:paraId="79D5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trPr>
        <w:tc>
          <w:tcPr>
            <w:tcW w:w="8528" w:type="dxa"/>
          </w:tcPr>
          <w:p w14:paraId="6BBC385A">
            <w:pPr>
              <w:rPr>
                <w:rFonts w:hint="eastAsia" w:ascii="宋体" w:hAnsi="宋体"/>
                <w:szCs w:val="21"/>
              </w:rPr>
            </w:pPr>
            <w:r>
              <w:rPr>
                <w:rFonts w:hint="eastAsia" w:ascii="宋体" w:hAnsi="宋体"/>
                <w:szCs w:val="21"/>
              </w:rPr>
              <w:t>学院或专业审核意见</w:t>
            </w:r>
          </w:p>
          <w:p w14:paraId="534C0AB7">
            <w:pPr>
              <w:ind w:firstLine="630" w:firstLineChars="300"/>
              <w:rPr>
                <w:rFonts w:hint="eastAsia"/>
              </w:rPr>
            </w:pPr>
            <w:r>
              <w:rPr>
                <w:rFonts w:hint="eastAsia"/>
              </w:rPr>
              <w:t>通过</w:t>
            </w:r>
          </w:p>
          <w:p w14:paraId="09B7DD1A"/>
          <w:p w14:paraId="35E1C0A9"/>
          <w:p w14:paraId="5F955DB0">
            <w:pPr>
              <w:ind w:right="630"/>
              <w:jc w:val="right"/>
              <w:rPr>
                <w:rFonts w:hint="eastAsia" w:ascii="宋体" w:hAnsi="宋体"/>
              </w:rPr>
            </w:pPr>
            <w:r>
              <w:rPr>
                <w:rFonts w:hint="eastAsia" w:ascii="宋体" w:hAnsi="宋体"/>
              </w:rPr>
              <w:t>负责人：</w:t>
            </w:r>
          </w:p>
          <w:p w14:paraId="24573EF0">
            <w:pPr>
              <w:wordWrap w:val="0"/>
              <w:jc w:val="right"/>
              <w:rPr>
                <w:rFonts w:hint="eastAsia" w:ascii="宋体" w:hAnsi="宋体"/>
                <w:sz w:val="24"/>
              </w:rPr>
            </w:pPr>
            <w:r>
              <w:rPr>
                <w:rFonts w:ascii="宋体" w:hAnsi="宋体"/>
                <w:szCs w:val="21"/>
              </w:rPr>
              <w:t xml:space="preserve">   </w:t>
            </w:r>
            <w:r>
              <w:rPr>
                <w:rFonts w:hint="eastAsia" w:ascii="宋体" w:hAnsi="宋体"/>
                <w:szCs w:val="21"/>
              </w:rPr>
              <w:t>2026年</w:t>
            </w:r>
            <w:r>
              <w:rPr>
                <w:rFonts w:hint="eastAsia" w:ascii="宋体" w:hAnsi="宋体"/>
                <w:szCs w:val="21"/>
                <w:lang w:val="en-US" w:eastAsia="zh-CN"/>
              </w:rPr>
              <w:t xml:space="preserve">  </w:t>
            </w:r>
            <w:r>
              <w:rPr>
                <w:rFonts w:hint="eastAsia" w:ascii="宋体" w:hAnsi="宋体"/>
                <w:szCs w:val="21"/>
              </w:rPr>
              <w:t>月</w:t>
            </w:r>
            <w:r>
              <w:rPr>
                <w:rFonts w:hint="eastAsia" w:ascii="宋体" w:hAnsi="宋体"/>
                <w:szCs w:val="21"/>
                <w:lang w:val="en-US" w:eastAsia="zh-CN"/>
              </w:rPr>
              <w:t xml:space="preserve">  </w:t>
            </w:r>
            <w:r>
              <w:rPr>
                <w:rFonts w:hint="eastAsia" w:ascii="宋体" w:hAnsi="宋体"/>
                <w:szCs w:val="21"/>
              </w:rPr>
              <w:t>日</w:t>
            </w:r>
          </w:p>
        </w:tc>
      </w:tr>
    </w:tbl>
    <w:p w14:paraId="2ED59342">
      <w:pPr>
        <w:rPr>
          <w:color w:val="FF0000"/>
        </w:rPr>
      </w:pPr>
    </w:p>
    <w:sectPr>
      <w:headerReference r:id="rId8" w:type="first"/>
      <w:headerReference r:id="rId6" w:type="default"/>
      <w:headerReference r:id="rId7"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507CC">
    <w:pPr>
      <w:pStyle w:val="6"/>
      <w:pBdr>
        <w:bottom w:val="none" w:color="auto" w:sz="0" w:space="0"/>
      </w:pBdr>
    </w:pPr>
  </w:p>
  <w:p w14:paraId="090DDDD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457">
    <w:r>
      <mc:AlternateContent>
        <mc:Choice Requires="wps">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6350000" cy="1270000"/>
              <wp:effectExtent l="0" t="0" r="0" b="0"/>
              <wp:wrapNone/>
              <wp:docPr id="4097" name="_x0000_s3075"/>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14:paraId="4C59F384">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5" o:spid="_x0000_s1026" o:spt="1" style="position:absolute;left:0pt;height:100pt;width:500pt;mso-position-horizontal:center;mso-position-horizontal-relative:page;mso-position-vertical:center;mso-position-vertical-relative:page;rotation:-2621440f;z-index:251659264;mso-width-relative:page;mso-height-relative:page;" filled="f" stroked="f" coordsize="21600,21600" o:gfxdata="UEsDBAoAAAAAAIdO4kAAAAAAAAAAAAAAAAAEAAAAZHJzL1BLAwQUAAAACACHTuJA5shLjtcAAAAG&#10;AQAADwAAAGRycy9kb3ducmV2LnhtbE2PS0/DMBCE70j8B2uRuCBqF/FSiNNDRQ+9VDTl0d7ceImj&#10;xOsodh/8+265wB5WWs1q5pt8cvSd2OMQm0AaxiMFAqkKtqFaw/tqdvsMIiZD1nSBUMMPRpgUlxe5&#10;yWw40BL3ZaoFm1DMjAaXUp9JGSuH3sRR6JFY+w6DN4nPoZZ2MAc29528U+pRetMQJzjT49Rh1ZY7&#10;r2H6NV+s79u318Vn++Q24eHjZl7OtL6+GqsXEAmP6e8ZzviMDgUzbcOObBSdBi6SfvdZUzwgtho4&#10;U4EscvkfvzgBUEsDBBQAAAAIAIdO4kC2nad73QEAANEDAAAOAAAAZHJzL2Uyb0RvYy54bWytU01v&#10;2zAMvQ/YfxB0X2ynSdMYcXpYsGFA0QVoix0LRZZjA9bHSCV29utHyW4aZJcepoMgivTTe4/06r7X&#10;LTsqwMaagmeTlDNlpC0bsy/4y/O3L3ecoRemFK01quAnhfx+/fnTqnO5mtratqUCRiAG884VvPbe&#10;5UmCslZa4MQ6ZShZWdDCUwj7pATREbpuk2ma3iadhdKBlQqRbjdDko+I8BFAW1WNVBsrD1oZP6CC&#10;aoUnSVg3Dvk6sq0qJf3PqkLlWVtwUurjTo/QeRf2ZL0S+R6Eqxs5UhAfoXClSYvG0KNnqI3wgh2g&#10;+QdKNxIs2spPpNXJICQ6Qiqy9Mqbp1o4FbWQ1ejOpuP/g5WPxy2wpiz4LF0uODNCU89f+5TWK96k&#10;i3mwqHOYU+WT28IYIR2D3r4CzcCSr9mSuksr2kDCWB9dPp1dVr1nki5vb+axjknKZdNFDAg2GdAC&#10;qgP035XVLBwKDtTGCCuOD+iH0rcS+i6wG/iEk+93/UhyZ8sTqaNhJ5Dawh/OOmp1wfH3QYDirP1h&#10;yMtlNpuF2YjBbL6YUgCXmd1lxhz0V0vTlHEmjCTUgg/kAqPn/pcAN9L2pHjbvk3GFfehcmQ/EB0D&#10;6nQ0Y5zKMEqXcax6/xPX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myEuO1wAAAAYBAAAPAAAA&#10;AAAAAAEAIAAAACIAAABkcnMvZG93bnJldi54bWxQSwECFAAUAAAACACHTuJAtp2ne90BAADRAwAA&#10;DgAAAAAAAAABACAAAAAmAQAAZHJzL2Uyb0RvYy54bWxQSwUGAAAAAAYABgBZAQAAdQUAAAAA&#10;">
              <v:fill on="f" focussize="0,0"/>
              <v:stroke on="f"/>
              <v:imagedata o:title=""/>
              <o:lock v:ext="edit" aspectratio="f"/>
              <v:textbox>
                <w:txbxContent>
                  <w:p w14:paraId="4C59F384">
                    <w:pPr>
                      <w:snapToGrid w:val="0"/>
                      <w:jc w:val="center"/>
                    </w:pPr>
                    <w:r>
                      <w:rPr>
                        <w:color w:val="FFC0CB"/>
                        <w:sz w:val="200"/>
                      </w:rPr>
                      <w:t>湖北大学知行学院</w:t>
                    </w:r>
                  </w:p>
                </w:txbxContent>
              </v:textbox>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0BA91">
    <w:r>
      <mc:AlternateContent>
        <mc:Choice Requires="wps">
          <w:drawing>
            <wp:anchor distT="0" distB="0" distL="0" distR="0" simplePos="0" relativeHeight="251660288" behindDoc="0" locked="0" layoutInCell="1" allowOverlap="1">
              <wp:simplePos x="0" y="0"/>
              <wp:positionH relativeFrom="page">
                <wp:align>center</wp:align>
              </wp:positionH>
              <wp:positionV relativeFrom="page">
                <wp:align>center</wp:align>
              </wp:positionV>
              <wp:extent cx="6350000" cy="1270000"/>
              <wp:effectExtent l="0" t="0" r="0" b="0"/>
              <wp:wrapNone/>
              <wp:docPr id="4098" name="_x0000_s3073"/>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14:paraId="24717A1F">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3" o:spid="_x0000_s1026" o:spt="1" style="position:absolute;left:0pt;height:100pt;width:500pt;mso-position-horizontal:center;mso-position-horizontal-relative:page;mso-position-vertical:center;mso-position-vertical-relative:page;rotation:-2621440f;z-index:251660288;mso-width-relative:page;mso-height-relative:page;" filled="f" stroked="f" coordsize="21600,21600" o:gfxdata="UEsDBAoAAAAAAIdO4kAAAAAAAAAAAAAAAAAEAAAAZHJzL1BLAwQUAAAACACHTuJA5shLjtcAAAAG&#10;AQAADwAAAGRycy9kb3ducmV2LnhtbE2PS0/DMBCE70j8B2uRuCBqF/FSiNNDRQ+9VDTl0d7ceImj&#10;xOsodh/8+265wB5WWs1q5pt8cvSd2OMQm0AaxiMFAqkKtqFaw/tqdvsMIiZD1nSBUMMPRpgUlxe5&#10;yWw40BL3ZaoFm1DMjAaXUp9JGSuH3sRR6JFY+w6DN4nPoZZ2MAc29528U+pRetMQJzjT49Rh1ZY7&#10;r2H6NV+s79u318Vn++Q24eHjZl7OtL6+GqsXEAmP6e8ZzviMDgUzbcOObBSdBi6SfvdZUzwgtho4&#10;U4EscvkfvzgBUEsDBBQAAAAIAIdO4kA73Ygf3AEAANEDAAAOAAAAZHJzL2Uyb0RvYy54bWytU01v&#10;2zAMvQ/YfxB0X2wnadMYcXpYsGFA0QVoix0LRZZjA9bHSCV29utHyW4aZJcepoMgivTTe4/06r7X&#10;LTsqwMaagmeTlDNlpC0bsy/4y/O3L3ecoRemFK01quAnhfx+/fnTqnO5mtratqUCRiAG884VvPbe&#10;5UmCslZa4MQ6ZShZWdDCUwj7pATREbpuk2ma3iadhdKBlQqRbjdDko+I8BFAW1WNVBsrD1oZP6CC&#10;aoUnSVg3Dvk6sq0qJf3PqkLlWVtwUurjTo/QeRf2ZL0S+R6Eqxs5UhAfoXClSYvG0KNnqI3wgh2g&#10;+QdKNxIs2spPpNXJICQ6Qiqy9Mqbp1o4FbWQ1ejOpuP/g5WPxy2wpiz4PF1S543Q1PPXPqX1irN0&#10;MQsWdQ5zqnxyWxgjpGPQ21egGVjyNVtSd2lFG0gY66PLp7PLqvdM0uXt7CbWMUm5bLqIAcEmA1pA&#10;dYD+u7KahUPBgdoYYcXxAf1Q+lZC3wV2A59w8v2uH0nubHkidTTsBFJb+MNZR60uOP4+CFCctT8M&#10;ebnM5vMwGzGY3yymFMBlZneZMQf91dI0ZZwJIwm14AO5wOi5/yXAjbQ9Kd62b5NxxX2oHNkPRMeA&#10;Oh3NGKcyjNJlHKve/8T1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bIS47XAAAABgEAAA8AAAAA&#10;AAAAAQAgAAAAIgAAAGRycy9kb3ducmV2LnhtbFBLAQIUABQAAAAIAIdO4kA73Ygf3AEAANEDAAAO&#10;AAAAAAAAAAEAIAAAACYBAABkcnMvZTJvRG9jLnhtbFBLBQYAAAAABgAGAFkBAAB0BQAAAAA=&#10;">
              <v:fill on="f" focussize="0,0"/>
              <v:stroke on="f"/>
              <v:imagedata o:title=""/>
              <o:lock v:ext="edit" aspectratio="f"/>
              <v:textbox>
                <w:txbxContent>
                  <w:p w14:paraId="24717A1F">
                    <w:pPr>
                      <w:snapToGrid w:val="0"/>
                      <w:jc w:val="center"/>
                    </w:pPr>
                    <w:r>
                      <w:rPr>
                        <w:color w:val="FFC0CB"/>
                        <w:sz w:val="200"/>
                      </w:rPr>
                      <w:t>湖北大学知行学院</w:t>
                    </w:r>
                  </w:p>
                </w:txbxContent>
              </v:textbox>
            </v:rect>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6E122">
    <w:r>
      <w:rPr>
        <w:sz w:val="18"/>
      </w:rPr>
      <w:pict>
        <v:shape id="_x0000_s4098" o:spid="_x0000_s4098" o:spt="136" type="#_x0000_t136" style="position:absolute;left:0pt;height:70.05pt;width:517.2pt;mso-position-horizontal:center;mso-position-horizontal-relative:margin;mso-position-vertical:center;mso-position-vertical-relative:margin;rotation:-2949120f;z-index:-251653120;mso-width-relative:page;mso-height-relative:page;" fillcolor="#000000" filled="t" stroked="f" coordsize="21600,21600" adj="10800">
          <v:path/>
          <v:fill on="t" opacity="6553f" focussize="0,0"/>
          <v:stroke on="f"/>
          <v:imagedata o:title=""/>
          <o:lock v:ext="edit" aspectratio="t"/>
          <v:textpath on="t" fitshape="t" fitpath="t" trim="t" xscale="f" string="湖北大学知行学院" style="font-family:幼圆;font-size:36pt;v-same-letter-heights:f;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EA169">
    <w:r>
      <mc:AlternateContent>
        <mc:Choice Requires="wps">
          <w:drawing>
            <wp:anchor distT="0" distB="0" distL="0" distR="0" simplePos="0" relativeHeight="251661312" behindDoc="0" locked="0" layoutInCell="1" allowOverlap="1">
              <wp:simplePos x="0" y="0"/>
              <wp:positionH relativeFrom="page">
                <wp:align>center</wp:align>
              </wp:positionH>
              <wp:positionV relativeFrom="page">
                <wp:align>center</wp:align>
              </wp:positionV>
              <wp:extent cx="6350000" cy="1270000"/>
              <wp:effectExtent l="0" t="0" r="0" b="0"/>
              <wp:wrapNone/>
              <wp:docPr id="4099" name="_x0000_s3078"/>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14:paraId="1B16F1D3">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8" o:spid="_x0000_s1026" o:spt="1" style="position:absolute;left:0pt;height:100pt;width:500pt;mso-position-horizontal:center;mso-position-horizontal-relative:page;mso-position-vertical:center;mso-position-vertical-relative:page;rotation:-2621440f;z-index:251661312;mso-width-relative:page;mso-height-relative:page;" filled="f" stroked="f" coordsize="21600,21600" o:gfxdata="UEsDBAoAAAAAAIdO4kAAAAAAAAAAAAAAAAAEAAAAZHJzL1BLAwQUAAAACACHTuJA5shLjtcAAAAG&#10;AQAADwAAAGRycy9kb3ducmV2LnhtbE2PS0/DMBCE70j8B2uRuCBqF/FSiNNDRQ+9VDTl0d7ceImj&#10;xOsodh/8+265wB5WWs1q5pt8cvSd2OMQm0AaxiMFAqkKtqFaw/tqdvsMIiZD1nSBUMMPRpgUlxe5&#10;yWw40BL3ZaoFm1DMjAaXUp9JGSuH3sRR6JFY+w6DN4nPoZZ2MAc29528U+pRetMQJzjT49Rh1ZY7&#10;r2H6NV+s79u318Vn++Q24eHjZl7OtL6+GqsXEAmP6e8ZzviMDgUzbcOObBSdBi6SfvdZUzwgtho4&#10;U4EscvkfvzgBUEsDBBQAAAAIAIdO4kDERbww3QEAANEDAAAOAAAAZHJzL2Uyb0RvYy54bWytU01v&#10;2zAMvQ/YfxB0X2ynadMYcXpo0GFA0QVohx0LRZZjA9ZHSSV29utHyW4WZJceqoMgivTTe4/08q7X&#10;LTsowMaagmeTlDNlpC0bsyv4r5eHb7ecoRemFK01quBHhfxu9fXLsnO5mtratqUCRiAG884VvPbe&#10;5UmCslZa4MQ6ZShZWdDCUwi7pATREbpuk2ma3iSdhdKBlQqRbtdDko+I8BFAW1WNVGsr91oZP6CC&#10;aoUnSVg3Dvkqsq0qJf3PqkLlWVtwUurjTo/QeRv2ZLUU+Q6Eqxs5UhAfoXChSYvG0KMnqLXwgu2h&#10;+Q9KNxIs2spPpNXJICQ6Qiqy9MKb51o4FbWQ1ehOpuPnwcqnwwZYUxZ8li4WnBmhqeevfUrrFa/S&#10;+W2wqHOYU+Wz28AYIR2D3r4CzcCSr9mCuksr2kDCWB9dPp5cVr1nki5vrq5jHZOUy6bzGBBsMqAF&#10;VAfovyurWTgUHKiNEVYcHtEPpe8l9F1gN/AJJ99v+5Hk1pZHUkfDTiC1hT+cddTqguPbXoDirP1h&#10;yMtFNpuF2YjB7Ho+pQDOM9vzjNnre0vTlHEmjCTUgg/kAqOX/rcAN9L2pHjTvk/GBfehcmQ/EB0D&#10;6nQ0Y5zKMErncaz69yeu/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myEuO1wAAAAYBAAAPAAAA&#10;AAAAAAEAIAAAACIAAABkcnMvZG93bnJldi54bWxQSwECFAAUAAAACACHTuJAxEW8MN0BAADRAwAA&#10;DgAAAAAAAAABACAAAAAmAQAAZHJzL2Uyb0RvYy54bWxQSwUGAAAAAAYABgBZAQAAdQUAAAAA&#10;">
              <v:fill on="f" focussize="0,0"/>
              <v:stroke on="f"/>
              <v:imagedata o:title=""/>
              <o:lock v:ext="edit" aspectratio="f"/>
              <v:textbox>
                <w:txbxContent>
                  <w:p w14:paraId="1B16F1D3">
                    <w:pPr>
                      <w:snapToGrid w:val="0"/>
                      <w:jc w:val="center"/>
                    </w:pPr>
                    <w:r>
                      <w:rPr>
                        <w:color w:val="FFC0CB"/>
                        <w:sz w:val="200"/>
                      </w:rPr>
                      <w:t>湖北大学知行学院</w:t>
                    </w:r>
                  </w:p>
                </w:txbxContent>
              </v:textbox>
            </v:rect>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727DF">
    <w:r>
      <mc:AlternateContent>
        <mc:Choice Requires="wps">
          <w:drawing>
            <wp:anchor distT="0" distB="0" distL="0" distR="0" simplePos="0" relativeHeight="251662336" behindDoc="0" locked="0" layoutInCell="1" allowOverlap="1">
              <wp:simplePos x="0" y="0"/>
              <wp:positionH relativeFrom="page">
                <wp:align>center</wp:align>
              </wp:positionH>
              <wp:positionV relativeFrom="page">
                <wp:align>center</wp:align>
              </wp:positionV>
              <wp:extent cx="6350000" cy="1270000"/>
              <wp:effectExtent l="0" t="0" r="0" b="0"/>
              <wp:wrapNone/>
              <wp:docPr id="4100" name="_x0000_s3076"/>
              <wp:cNvGraphicFramePr/>
              <a:graphic xmlns:a="http://schemas.openxmlformats.org/drawingml/2006/main">
                <a:graphicData uri="http://schemas.microsoft.com/office/word/2010/wordprocessingShape">
                  <wps:wsp>
                    <wps:cNvSpPr/>
                    <wps:spPr>
                      <a:xfrm rot="19200000">
                        <a:off x="0" y="0"/>
                        <a:ext cx="6350000" cy="1270000"/>
                      </a:xfrm>
                      <a:prstGeom prst="rect">
                        <a:avLst/>
                      </a:prstGeom>
                    </wps:spPr>
                    <wps:txbx>
                      <w:txbxContent>
                        <w:p w14:paraId="02C2F346">
                          <w:pPr>
                            <w:snapToGrid w:val="0"/>
                            <w:jc w:val="center"/>
                          </w:pPr>
                          <w:r>
                            <w:rPr>
                              <w:color w:val="FFC0CB"/>
                              <w:sz w:val="200"/>
                            </w:rPr>
                            <w:t>湖北大学知行学院</w:t>
                          </w:r>
                        </w:p>
                      </w:txbxContent>
                    </wps:txbx>
                    <wps:bodyPr vert="horz" wrap="square" lIns="91440" tIns="45720" rIns="91440" bIns="45720" numCol="1" anchor="t">
                      <a:prstTxWarp prst="textPlain">
                        <a:avLst/>
                      </a:prstTxWarp>
                    </wps:bodyPr>
                  </wps:wsp>
                </a:graphicData>
              </a:graphic>
            </wp:anchor>
          </w:drawing>
        </mc:Choice>
        <mc:Fallback>
          <w:pict>
            <v:rect id="_x0000_s3076" o:spid="_x0000_s1026" o:spt="1" style="position:absolute;left:0pt;height:100pt;width:500pt;mso-position-horizontal:center;mso-position-horizontal-relative:page;mso-position-vertical:center;mso-position-vertical-relative:page;rotation:-2621440f;z-index:251662336;mso-width-relative:page;mso-height-relative:page;" filled="f" stroked="f" coordsize="21600,21600" o:gfxdata="UEsDBAoAAAAAAIdO4kAAAAAAAAAAAAAAAAAEAAAAZHJzL1BLAwQUAAAACACHTuJA5shLjtcAAAAG&#10;AQAADwAAAGRycy9kb3ducmV2LnhtbE2PS0/DMBCE70j8B2uRuCBqF/FSiNNDRQ+9VDTl0d7ceImj&#10;xOsodh/8+265wB5WWs1q5pt8cvSd2OMQm0AaxiMFAqkKtqFaw/tqdvsMIiZD1nSBUMMPRpgUlxe5&#10;yWw40BL3ZaoFm1DMjAaXUp9JGSuH3sRR6JFY+w6DN4nPoZZ2MAc29528U+pRetMQJzjT49Rh1ZY7&#10;r2H6NV+s79u318Vn++Q24eHjZl7OtL6+GqsXEAmP6e8ZzviMDgUzbcOObBSdBi6SfvdZUzwgtho4&#10;U4EscvkfvzgBUEsDBBQAAAAIAIdO4kDl+uJ53AEAANEDAAAOAAAAZHJzL2Uyb0RvYy54bWytU01v&#10;2zAMvQ/YfxB0X2ynadIacXpo0GHAsAVoix0LRZZjA9ZHSSV29utHyW4aZJceqoMgivTTe4/08q7X&#10;LTsowMaagmeTlDNlpC0bsyv489PDtxvO0AtTitYaVfCjQn63+vpl2blcTW1t21IBIxCDeecKXnvv&#10;8iRBWSstcGKdMpSsLGjhKYRdUoLoCF23yTRN50lnoXRgpUKk2/WQ5CMifATQVlUj1drKvVbGD6ig&#10;WuFJEtaNQ76KbKtKSf+7qlB51haclPq40yN03oY9WS1FvgPh6kaOFMRHKFxo0qIx9OgJai28YHto&#10;/oPSjQSLtvITaXUyCImOkIosvfDmsRZORS1kNbqT6fh5sPLXYQOsKQs+y1IyxQhNPX/pU1oveJUu&#10;5sGizmFOlY9uA2OEdAx6+wo0A0u+ZrfUXVrRBhLG+ujy8eSy6j2TdDm/uo51TFIumy5iQLDJgBZQ&#10;HaD/rqxm4VBwoDZGWHH4iX4ofSuh7wK7gU84+X7bjyS3tjySOhp2Aqkt/OWso1YXHF/3AhRn7Q9D&#10;Xt5ms1mYjRjMrhdTCuA8sz3PmL2+tzRNGWfCSEIt+EAuMHrq/whwI21Pijft22RccB8qR/YD0TGg&#10;TkczxqkMo3Qex6r3P3H1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bIS47XAAAABgEAAA8AAAAA&#10;AAAAAQAgAAAAIgAAAGRycy9kb3ducmV2LnhtbFBLAQIUABQAAAAIAIdO4kDl+uJ53AEAANEDAAAO&#10;AAAAAAAAAAEAIAAAACYBAABkcnMvZTJvRG9jLnhtbFBLBQYAAAAABgAGAFkBAAB0BQAAAAA=&#10;">
              <v:fill on="f" focussize="0,0"/>
              <v:stroke on="f"/>
              <v:imagedata o:title=""/>
              <o:lock v:ext="edit" aspectratio="f"/>
              <v:textbox>
                <w:txbxContent>
                  <w:p w14:paraId="02C2F346">
                    <w:pPr>
                      <w:snapToGrid w:val="0"/>
                      <w:jc w:val="center"/>
                    </w:pPr>
                    <w:r>
                      <w:rPr>
                        <w:color w:val="FFC0CB"/>
                        <w:sz w:val="200"/>
                      </w:rPr>
                      <w:t>湖北大学知行学院</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3"/>
      <w:numFmt w:val="decimal"/>
      <w:suff w:val="nothing"/>
      <w:lvlText w:val="%1．"/>
      <w:lvlJc w:val="left"/>
    </w:lvl>
  </w:abstractNum>
  <w:abstractNum w:abstractNumId="1">
    <w:nsid w:val="0053208E"/>
    <w:multiLevelType w:val="multilevel"/>
    <w:tmpl w:val="0053208E"/>
    <w:lvl w:ilvl="0" w:tentative="0">
      <w:start w:val="3"/>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697"/>
    <w:rsid w:val="006969DE"/>
    <w:rsid w:val="006B4828"/>
    <w:rsid w:val="00770051"/>
    <w:rsid w:val="00A25DDD"/>
    <w:rsid w:val="00B77697"/>
    <w:rsid w:val="021653B1"/>
    <w:rsid w:val="05D67331"/>
    <w:rsid w:val="078017DE"/>
    <w:rsid w:val="09FF536C"/>
    <w:rsid w:val="0C937D2A"/>
    <w:rsid w:val="196F567B"/>
    <w:rsid w:val="1D077EC8"/>
    <w:rsid w:val="23FC6C61"/>
    <w:rsid w:val="250550E5"/>
    <w:rsid w:val="2D545BAF"/>
    <w:rsid w:val="38632E2E"/>
    <w:rsid w:val="43024155"/>
    <w:rsid w:val="45D07D06"/>
    <w:rsid w:val="4A041D46"/>
    <w:rsid w:val="5BFD1EE2"/>
    <w:rsid w:val="5CFB0EB0"/>
    <w:rsid w:val="62D607B4"/>
    <w:rsid w:val="75177B30"/>
    <w:rsid w:val="75B83CF1"/>
    <w:rsid w:val="EDFAB6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link w:val="18"/>
    <w:qFormat/>
    <w:uiPriority w:val="9"/>
    <w:pPr>
      <w:widowControl/>
      <w:spacing w:before="100" w:beforeAutospacing="1" w:after="100" w:afterAutospacing="1"/>
      <w:jc w:val="left"/>
      <w:outlineLvl w:val="2"/>
    </w:pPr>
    <w:rPr>
      <w:rFonts w:ascii="宋体" w:hAnsi="宋体" w:cs="宋体"/>
      <w:b/>
      <w:bCs/>
      <w:kern w:val="0"/>
      <w:sz w:val="27"/>
      <w:szCs w:val="27"/>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0"/>
    <w:pPr>
      <w:ind w:firstLine="1530"/>
    </w:pPr>
    <w:rPr>
      <w:rFonts w:eastAsia="隶书"/>
      <w:sz w:val="44"/>
    </w:rPr>
  </w:style>
  <w:style w:type="paragraph" w:styleId="4">
    <w:name w:val="Plain Text"/>
    <w:basedOn w:val="1"/>
    <w:link w:val="16"/>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FollowedHyperlink"/>
    <w:basedOn w:val="10"/>
    <w:qFormat/>
    <w:uiPriority w:val="0"/>
    <w:rPr>
      <w:color w:val="666666"/>
      <w:u w:val="none"/>
    </w:rPr>
  </w:style>
  <w:style w:type="character" w:styleId="13">
    <w:name w:val="Hyperlink"/>
    <w:basedOn w:val="10"/>
    <w:qFormat/>
    <w:uiPriority w:val="0"/>
    <w:rPr>
      <w:color w:val="666666"/>
      <w:u w:val="none"/>
    </w:rPr>
  </w:style>
  <w:style w:type="character" w:customStyle="1" w:styleId="14">
    <w:name w:val="hover7"/>
    <w:basedOn w:val="10"/>
    <w:qFormat/>
    <w:uiPriority w:val="0"/>
    <w:rPr>
      <w:color w:val="FFFFFF"/>
      <w:shd w:val="clear" w:color="auto" w:fill="DE4B37"/>
    </w:rPr>
  </w:style>
  <w:style w:type="character" w:customStyle="1" w:styleId="15">
    <w:name w:val="hover"/>
    <w:basedOn w:val="10"/>
    <w:qFormat/>
    <w:uiPriority w:val="0"/>
    <w:rPr>
      <w:color w:val="FFFFFF"/>
      <w:shd w:val="clear" w:color="auto" w:fill="DE4B37"/>
    </w:rPr>
  </w:style>
  <w:style w:type="character" w:customStyle="1" w:styleId="16">
    <w:name w:val="纯文本 字符"/>
    <w:basedOn w:val="10"/>
    <w:link w:val="4"/>
    <w:qFormat/>
    <w:uiPriority w:val="0"/>
    <w:rPr>
      <w:rFonts w:ascii="宋体" w:hAnsi="Courier New" w:cs="Courier New"/>
      <w:kern w:val="2"/>
      <w:sz w:val="21"/>
      <w:szCs w:val="21"/>
    </w:rPr>
  </w:style>
  <w:style w:type="paragraph" w:styleId="17">
    <w:name w:val="List Paragraph"/>
    <w:basedOn w:val="1"/>
    <w:qFormat/>
    <w:uiPriority w:val="99"/>
    <w:pPr>
      <w:ind w:firstLine="420" w:firstLineChars="200"/>
    </w:pPr>
  </w:style>
  <w:style w:type="character" w:customStyle="1" w:styleId="18">
    <w:name w:val="标题 3 字符"/>
    <w:basedOn w:val="10"/>
    <w:link w:val="2"/>
    <w:qFormat/>
    <w:uiPriority w:val="9"/>
    <w:rPr>
      <w:rFonts w:ascii="宋体" w:hAnsi="宋体" w:cs="宋体"/>
      <w:b/>
      <w:bCs/>
      <w:sz w:val="27"/>
      <w:szCs w:val="27"/>
    </w:rPr>
  </w:style>
  <w:style w:type="character" w:customStyle="1" w:styleId="19">
    <w:name w:val="mt-trans"/>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aa</Company>
  <Pages>4</Pages>
  <Words>2419</Words>
  <Characters>3498</Characters>
  <Lines>14</Lines>
  <Paragraphs>13</Paragraphs>
  <TotalTime>1</TotalTime>
  <ScaleCrop>false</ScaleCrop>
  <LinksUpToDate>false</LinksUpToDate>
  <CharactersWithSpaces>3626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2023-10-27T16:17:00Z</dcterms:created>
  <dc:creator>谢</dc:creator>
  <cp:lastModifiedBy>Maggie</cp:lastModifiedBy>
  <dcterms:modified xsi:type="dcterms:W3CDTF">2026-09-24T14:17:18Z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11FAF2A036644CB9A7B25DC402F3CB9A_13</vt:lpwstr>
  </property>
  <property fmtid="{D5CDD505-2E9C-101B-9397-08002B2CF9AE}" pid="5" name="KSOProductBuildVer">
    <vt:lpwstr>2052-12.1.0.23125</vt:lpwstr>
  </property>
  <property fmtid="{D5CDD505-2E9C-101B-9397-08002B2CF9AE}" pid="6" name="KSOTemplateDocerSaveRecord">
    <vt:lpwstr>eyJoZGlkIjoiNTRiNjM3MTZhMGE0YjVhMWE0ZDZjMmM1M2IxYzEzOTAiLCJ1c2VySWQiOiIzODAwNzQwMDkifQ==</vt:lpwstr>
  </property>
</Properties>
</file>