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C651" w14:textId="347EA138" w:rsidR="00D21665" w:rsidRPr="006C520E" w:rsidRDefault="002056D3" w:rsidP="00D21665">
      <w:pPr>
        <w:spacing w:after="0"/>
        <w:jc w:val="center"/>
        <w:rPr>
          <w:b/>
          <w:bCs/>
          <w:szCs w:val="24"/>
        </w:rPr>
      </w:pPr>
      <w:r w:rsidRPr="006C520E">
        <w:rPr>
          <w:b/>
          <w:bCs/>
          <w:szCs w:val="24"/>
        </w:rPr>
        <w:t xml:space="preserve">The </w:t>
      </w:r>
      <w:r w:rsidR="003059E7" w:rsidRPr="006C520E">
        <w:rPr>
          <w:b/>
          <w:bCs/>
          <w:szCs w:val="24"/>
        </w:rPr>
        <w:t>role</w:t>
      </w:r>
      <w:r w:rsidRPr="006C520E">
        <w:rPr>
          <w:b/>
          <w:bCs/>
          <w:szCs w:val="24"/>
        </w:rPr>
        <w:t xml:space="preserve"> of the </w:t>
      </w:r>
      <w:r w:rsidR="007278D3" w:rsidRPr="006C520E">
        <w:rPr>
          <w:b/>
          <w:bCs/>
          <w:szCs w:val="24"/>
        </w:rPr>
        <w:t xml:space="preserve">underground economy </w:t>
      </w:r>
      <w:r w:rsidRPr="006C520E">
        <w:rPr>
          <w:b/>
          <w:bCs/>
          <w:szCs w:val="24"/>
        </w:rPr>
        <w:t>in the oil wealth-</w:t>
      </w:r>
      <w:r w:rsidR="007278D3" w:rsidRPr="006C520E">
        <w:rPr>
          <w:b/>
          <w:bCs/>
          <w:szCs w:val="24"/>
        </w:rPr>
        <w:t>growth</w:t>
      </w:r>
      <w:r w:rsidRPr="006C520E">
        <w:rPr>
          <w:b/>
          <w:bCs/>
          <w:szCs w:val="24"/>
        </w:rPr>
        <w:t xml:space="preserve"> nexus</w:t>
      </w:r>
      <w:r w:rsidR="008D27B3" w:rsidRPr="006C520E">
        <w:rPr>
          <w:b/>
          <w:bCs/>
          <w:szCs w:val="24"/>
        </w:rPr>
        <w:t xml:space="preserve">: </w:t>
      </w:r>
      <w:r w:rsidR="00E2773A" w:rsidRPr="006C520E">
        <w:rPr>
          <w:b/>
          <w:bCs/>
          <w:szCs w:val="24"/>
        </w:rPr>
        <w:t>new</w:t>
      </w:r>
      <w:r w:rsidR="008D27B3" w:rsidRPr="006C520E">
        <w:rPr>
          <w:b/>
          <w:bCs/>
          <w:szCs w:val="24"/>
        </w:rPr>
        <w:t xml:space="preserve"> insight from Nigeria</w:t>
      </w:r>
    </w:p>
    <w:p w14:paraId="40C9B720" w14:textId="32446DE5" w:rsidR="00315896" w:rsidRPr="006C520E" w:rsidRDefault="00315896" w:rsidP="00315896">
      <w:pPr>
        <w:spacing w:before="120" w:after="0"/>
        <w:rPr>
          <w:bCs/>
          <w:szCs w:val="24"/>
        </w:rPr>
      </w:pPr>
      <w:r w:rsidRPr="006C520E">
        <w:rPr>
          <w:b/>
          <w:szCs w:val="24"/>
        </w:rPr>
        <w:t>Abstract</w:t>
      </w:r>
    </w:p>
    <w:p w14:paraId="0D6B8031" w14:textId="473DF6A8" w:rsidR="00FB6FC9" w:rsidRPr="006C520E" w:rsidRDefault="00FB6FC9" w:rsidP="00FB6FC9">
      <w:pPr>
        <w:spacing w:after="0"/>
        <w:rPr>
          <w:szCs w:val="24"/>
        </w:rPr>
      </w:pPr>
      <w:r w:rsidRPr="006C520E">
        <w:rPr>
          <w:szCs w:val="24"/>
        </w:rPr>
        <w:t>Research on the relationship between oil wealth and economic growth has shown that the impact of oil can depend on various factors or conditions. However, the role of the underground economy in this relationship remains underexplored. This study aims to fill this gap by examining how the underground economy influences the oil wealth-growth nexus in Nigeria from 1990 to 2022, using the bootstrap autoregressive distributed lag (ARDL) bounds-testing technique. The empirical findings reveal that the effect of oil wealth on economic growth varies with the size of the underground economy. Specifically, the results indicate that the marginal impact of oil wealth on growth is positive when the underground economy is relatively small, but becomes negative as the underground economy expands. This suggests that the underground economy serves as a channel through which oil wealth negatively affects long-term economic growth. The economic implication of this finding is that for sustained long-term growth, increases in oil wealth must be accompanied by significant efforts to reduce the size of the underground economy.</w:t>
      </w:r>
    </w:p>
    <w:p w14:paraId="16292F3B" w14:textId="06FAEAC8" w:rsidR="00315896" w:rsidRPr="006C520E" w:rsidRDefault="00315896" w:rsidP="00315896">
      <w:pPr>
        <w:spacing w:before="120" w:after="0"/>
        <w:rPr>
          <w:szCs w:val="24"/>
        </w:rPr>
      </w:pPr>
      <w:r w:rsidRPr="006C520E">
        <w:rPr>
          <w:b/>
          <w:szCs w:val="24"/>
        </w:rPr>
        <w:t>Keywords</w:t>
      </w:r>
      <w:r w:rsidRPr="006C520E">
        <w:rPr>
          <w:szCs w:val="24"/>
        </w:rPr>
        <w:t xml:space="preserve"> Oil </w:t>
      </w:r>
      <w:r w:rsidR="002056D3" w:rsidRPr="006C520E">
        <w:rPr>
          <w:szCs w:val="24"/>
        </w:rPr>
        <w:t>wealth</w:t>
      </w:r>
      <w:r w:rsidRPr="006C520E">
        <w:rPr>
          <w:szCs w:val="24"/>
        </w:rPr>
        <w:t>, underground economy, economic growth, bootstrap ARDL</w:t>
      </w:r>
    </w:p>
    <w:p w14:paraId="6FAC51C4" w14:textId="26E0FB1E" w:rsidR="00315896" w:rsidRPr="006C520E" w:rsidRDefault="00315896" w:rsidP="00315896">
      <w:pPr>
        <w:spacing w:after="0"/>
        <w:rPr>
          <w:b/>
          <w:szCs w:val="24"/>
        </w:rPr>
      </w:pPr>
      <w:r w:rsidRPr="006C520E">
        <w:rPr>
          <w:b/>
          <w:szCs w:val="24"/>
        </w:rPr>
        <w:t xml:space="preserve">JEL Codes </w:t>
      </w:r>
      <w:r w:rsidR="000B2511" w:rsidRPr="006C520E">
        <w:rPr>
          <w:bCs/>
          <w:szCs w:val="24"/>
        </w:rPr>
        <w:t xml:space="preserve">E26, O13, 43, </w:t>
      </w:r>
      <w:r w:rsidRPr="006C520E">
        <w:rPr>
          <w:szCs w:val="24"/>
        </w:rPr>
        <w:t>C22</w:t>
      </w:r>
    </w:p>
    <w:p w14:paraId="1A869206" w14:textId="2FA88969" w:rsidR="00C520ED" w:rsidRPr="006C520E" w:rsidRDefault="00C520ED" w:rsidP="00D13A29">
      <w:pPr>
        <w:pStyle w:val="Heading1"/>
        <w:spacing w:before="120" w:line="240" w:lineRule="auto"/>
        <w:rPr>
          <w:rFonts w:ascii="Garamond" w:hAnsi="Garamond"/>
          <w:b/>
          <w:bCs/>
          <w:color w:val="auto"/>
          <w:sz w:val="24"/>
          <w:szCs w:val="24"/>
          <w:lang w:val="en-GB"/>
        </w:rPr>
      </w:pPr>
      <w:r w:rsidRPr="006C520E">
        <w:rPr>
          <w:rFonts w:ascii="Garamond" w:hAnsi="Garamond"/>
          <w:b/>
          <w:bCs/>
          <w:color w:val="auto"/>
          <w:sz w:val="24"/>
          <w:szCs w:val="24"/>
          <w:lang w:val="en-GB"/>
        </w:rPr>
        <w:t>1 Introduction</w:t>
      </w:r>
    </w:p>
    <w:p w14:paraId="07A3D634" w14:textId="3BE442B0" w:rsidR="001F0A48" w:rsidRDefault="001F0A48" w:rsidP="00130FCC">
      <w:pPr>
        <w:spacing w:after="0"/>
      </w:pPr>
      <w:r>
        <w:t>Over the last few decades, scholars have widely regarded natural resources and the wealth associated with them as a ‘curse’ (Sachs &amp; Warner, 1995). This conclusion is primarily influenced by the relatively poor economic performance of nations with abundant natural resources compared to the significant economic growth and development experienced in resource-poor countries such as Taiwan, Singapore, and Hong Kong (David et al., 2024). Both anecdotal and empirical evidence confirm the validity of this phenomenon in several resource-rich countries across Africa, the Middle East, Europe, Latin America, and Asia. In the literature on the resource curse, it is reported that the adverse effects of natural resource wealth on growth may be transmitted through channels such as weak institutions, corruption, terms of trade, investment, openness, and education, among others (David et al., 202</w:t>
      </w:r>
      <w:r w:rsidR="00D63CE2">
        <w:t>5</w:t>
      </w:r>
      <w:r>
        <w:t xml:space="preserve">; </w:t>
      </w:r>
      <w:proofErr w:type="spellStart"/>
      <w:r>
        <w:t>Eregha</w:t>
      </w:r>
      <w:proofErr w:type="spellEnd"/>
      <w:r>
        <w:t xml:space="preserve"> &amp; </w:t>
      </w:r>
      <w:proofErr w:type="spellStart"/>
      <w:r>
        <w:t>Mesagan</w:t>
      </w:r>
      <w:proofErr w:type="spellEnd"/>
      <w:r>
        <w:t xml:space="preserve">, 2020; </w:t>
      </w:r>
      <w:proofErr w:type="spellStart"/>
      <w:r>
        <w:t>Papyrakis</w:t>
      </w:r>
      <w:proofErr w:type="spellEnd"/>
      <w:r>
        <w:t xml:space="preserve"> &amp; </w:t>
      </w:r>
      <w:proofErr w:type="spellStart"/>
      <w:r>
        <w:t>Gerlagh</w:t>
      </w:r>
      <w:proofErr w:type="spellEnd"/>
      <w:r>
        <w:t>, 2004).</w:t>
      </w:r>
    </w:p>
    <w:p w14:paraId="39884372" w14:textId="19B324DA" w:rsidR="00130FCC" w:rsidRDefault="00130FCC" w:rsidP="00C520ED">
      <w:pPr>
        <w:spacing w:before="120" w:after="0"/>
      </w:pPr>
      <w:r>
        <w:t>However, little is known about the capacity of the underground economy</w:t>
      </w:r>
      <w:r w:rsidRPr="006C520E">
        <w:rPr>
          <w:rStyle w:val="FootnoteReference"/>
          <w:szCs w:val="24"/>
        </w:rPr>
        <w:footnoteReference w:id="1"/>
      </w:r>
      <w:r>
        <w:t xml:space="preserve"> to act as a transmission channel for the negative impact of natural resource wealth on long-term growth in resource-dependent economies. In the case of oil, for instance, it can be argued that the effect of oil wealth (or revenue) on long-term growth may be influenced by the size of the underground economy in oil-rich countries. This argument is </w:t>
      </w:r>
      <w:r w:rsidR="00B96C0A">
        <w:t xml:space="preserve">hinged </w:t>
      </w:r>
      <w:r>
        <w:t xml:space="preserve">on two key </w:t>
      </w:r>
      <w:r w:rsidR="00B96C0A">
        <w:t>issues</w:t>
      </w:r>
      <w:r>
        <w:t xml:space="preserve">. First, the expansion of the underground economy directly erodes the tax base, leading to a reduction in tax revenue and forcing governments to seek alternative means of financing their expenditures (Mazhar &amp; </w:t>
      </w:r>
      <w:proofErr w:type="spellStart"/>
      <w:r>
        <w:t>Méon</w:t>
      </w:r>
      <w:proofErr w:type="spellEnd"/>
      <w:r>
        <w:t>, 2017). Second, evidence suggests that higher oil rents tend to diminish the state</w:t>
      </w:r>
      <w:r w:rsidR="00B96C0A">
        <w:t>’</w:t>
      </w:r>
      <w:r>
        <w:t>s willingness to tax its citizens, delaying necessary tax reforms (</w:t>
      </w:r>
      <w:proofErr w:type="spellStart"/>
      <w:r>
        <w:t>Bornhorst</w:t>
      </w:r>
      <w:proofErr w:type="spellEnd"/>
      <w:r>
        <w:t xml:space="preserve"> et al., 2009; McGuirk, 2013; Ross, 2001). Conversely, a decline in oil rents often increases the government</w:t>
      </w:r>
      <w:r w:rsidR="00B96C0A">
        <w:t>’</w:t>
      </w:r>
      <w:r>
        <w:t xml:space="preserve">s willingness to adopt and implement tax reforms to boost revenue (Ishak &amp; </w:t>
      </w:r>
      <w:proofErr w:type="spellStart"/>
      <w:r>
        <w:t>Farzanegan</w:t>
      </w:r>
      <w:proofErr w:type="spellEnd"/>
      <w:r>
        <w:t>, 2020).</w:t>
      </w:r>
    </w:p>
    <w:p w14:paraId="17A75228" w14:textId="12AB5C11" w:rsidR="00877A0D" w:rsidRDefault="00877A0D" w:rsidP="00C520ED">
      <w:pPr>
        <w:spacing w:before="120" w:after="0"/>
      </w:pPr>
      <w:r>
        <w:lastRenderedPageBreak/>
        <w:t>In this context, the prevailing size of the underground economy may determine how oil rent fluctuations impact economic growth by influencing the government</w:t>
      </w:r>
      <w:r w:rsidR="000650C0">
        <w:t>’</w:t>
      </w:r>
      <w:r>
        <w:t xml:space="preserve">s ability to generate higher tax revenues. Ishak and </w:t>
      </w:r>
      <w:proofErr w:type="spellStart"/>
      <w:r>
        <w:t>Farzanegan</w:t>
      </w:r>
      <w:proofErr w:type="spellEnd"/>
      <w:r>
        <w:t xml:space="preserve"> (2020)</w:t>
      </w:r>
      <w:r w:rsidR="000650C0">
        <w:t xml:space="preserve">, for instance, </w:t>
      </w:r>
      <w:r>
        <w:t>found that in oil-rich countries where the underground economy accounts for more than 35 percent of GDP, a decline in oil rents has a limited effect on raising tax revenues. In contrast, countries with a smaller underground economy may experience an increase in tax revenue following changes in oil rents, with minimal adverse effects on economic growth. However, where the underground economy is extensive, economic growth is likely to be hindered, as efforts to increase tax revenue are often unsuccessful.</w:t>
      </w:r>
    </w:p>
    <w:p w14:paraId="61C55DA4" w14:textId="0AF6441E" w:rsidR="00532B19" w:rsidRDefault="00532B19" w:rsidP="00D246E8">
      <w:pPr>
        <w:spacing w:before="120" w:after="0"/>
      </w:pPr>
      <w:r>
        <w:t>The negative shocks in global oil prices in 2009, 2015, and 2020 led to significant declines in oil rents and capital outflows in oil-dependent countries, including Nigeria (World Bank, 2024). The resulting drop in revenue raised Nigeria</w:t>
      </w:r>
      <w:r w:rsidR="00FE42D6">
        <w:t>’</w:t>
      </w:r>
      <w:r>
        <w:t>s fiscal deficit and increased public debt from 27.6 percent of GDP in 2019 to 35 percent in 2021 (Central Bank of Nigeria [CBN], 2022). Despite a series of non-oil tax reforms, the Nigerian government has struggled to achieve higher tax revenues (CBN, 2022; Herbert et al., 2018), while real GDP and per capita income have continued to decline (World Bank, 2024). The situation has been aggravated by the COVID-19 pandemic and oil theft in the oil-rich Niger Delta region, raising concerns about fiscal sustainability and long-term economic growth. Notably, with the underground economy averaging around 56.8 percent of official GDP during the 1991-201</w:t>
      </w:r>
      <w:r w:rsidR="00FE42D6">
        <w:t>7</w:t>
      </w:r>
      <w:r>
        <w:t xml:space="preserve"> period (Medina &amp; Schneider, 2019), the size of the underground economy may play a significant role in the relationship between oil revenue fluctuations and economic growth.</w:t>
      </w:r>
    </w:p>
    <w:p w14:paraId="27B72F93" w14:textId="782EB05E" w:rsidR="005B2288" w:rsidRDefault="005B2288" w:rsidP="009C377F">
      <w:pPr>
        <w:spacing w:before="120" w:after="0"/>
      </w:pPr>
      <w:r>
        <w:t xml:space="preserve">Against this backdrop, we aim to assess whether the effect of oil wealth on economic growth is influenced by the size of the underground economy in Nigeria. In the literature, most research has focused either on the relationship between oil wealth and growth (see Asiedu et al., 2021; </w:t>
      </w:r>
      <w:r w:rsidRPr="003F6899">
        <w:rPr>
          <w:highlight w:val="yellow"/>
        </w:rPr>
        <w:t xml:space="preserve">Dada &amp; </w:t>
      </w:r>
      <w:proofErr w:type="spellStart"/>
      <w:r w:rsidRPr="003F6899">
        <w:rPr>
          <w:highlight w:val="yellow"/>
        </w:rPr>
        <w:t>Abanikanda</w:t>
      </w:r>
      <w:proofErr w:type="spellEnd"/>
      <w:r w:rsidRPr="003F6899">
        <w:rPr>
          <w:highlight w:val="yellow"/>
        </w:rPr>
        <w:t>, 2019;</w:t>
      </w:r>
      <w:r>
        <w:t xml:space="preserve"> David et al., 2024; </w:t>
      </w:r>
      <w:proofErr w:type="spellStart"/>
      <w:r>
        <w:t>Eregha</w:t>
      </w:r>
      <w:proofErr w:type="spellEnd"/>
      <w:r>
        <w:t xml:space="preserve"> &amp; </w:t>
      </w:r>
      <w:proofErr w:type="spellStart"/>
      <w:r>
        <w:t>Mesagan</w:t>
      </w:r>
      <w:proofErr w:type="spellEnd"/>
      <w:r>
        <w:t xml:space="preserve">, 2020; </w:t>
      </w:r>
      <w:proofErr w:type="spellStart"/>
      <w:r>
        <w:t>Inuwa</w:t>
      </w:r>
      <w:proofErr w:type="spellEnd"/>
      <w:r>
        <w:t xml:space="preserve"> et al., 2022; Ofori &amp; </w:t>
      </w:r>
      <w:proofErr w:type="spellStart"/>
      <w:r>
        <w:t>Daryn</w:t>
      </w:r>
      <w:proofErr w:type="spellEnd"/>
      <w:r>
        <w:t xml:space="preserve">, 2021; </w:t>
      </w:r>
      <w:proofErr w:type="spellStart"/>
      <w:r>
        <w:t>Olayungbo</w:t>
      </w:r>
      <w:proofErr w:type="spellEnd"/>
      <w:r>
        <w:t xml:space="preserve"> &amp; </w:t>
      </w:r>
      <w:proofErr w:type="spellStart"/>
      <w:r>
        <w:t>Adediran</w:t>
      </w:r>
      <w:proofErr w:type="spellEnd"/>
      <w:r>
        <w:t xml:space="preserve">, 2017) or on the determinants and effects of the underground economy on economic growth (see </w:t>
      </w:r>
      <w:proofErr w:type="spellStart"/>
      <w:r w:rsidRPr="003F6899">
        <w:rPr>
          <w:highlight w:val="yellow"/>
        </w:rPr>
        <w:t>Ajide</w:t>
      </w:r>
      <w:proofErr w:type="spellEnd"/>
      <w:r w:rsidRPr="003F6899">
        <w:rPr>
          <w:highlight w:val="yellow"/>
        </w:rPr>
        <w:t xml:space="preserve"> &amp; Dada, 2024; </w:t>
      </w:r>
      <w:proofErr w:type="spellStart"/>
      <w:r w:rsidRPr="003F6899">
        <w:rPr>
          <w:highlight w:val="yellow"/>
        </w:rPr>
        <w:t>Ajide</w:t>
      </w:r>
      <w:proofErr w:type="spellEnd"/>
      <w:r w:rsidRPr="003F6899">
        <w:rPr>
          <w:highlight w:val="yellow"/>
        </w:rPr>
        <w:t xml:space="preserve"> et al., 2024; Dada et al., 2024;</w:t>
      </w:r>
      <w:r>
        <w:t xml:space="preserve"> Camara, 2022; Goel et al., 2018; Nguyen et al., 2022). Although the conclusions on the impact of oil wealth and the underground economy on growth are mixed</w:t>
      </w:r>
      <w:r w:rsidR="003F6899">
        <w:t xml:space="preserve"> and remain inconclusive</w:t>
      </w:r>
      <w:r>
        <w:t>, the existing literature on the resource curse has largely overlooked the underground economy as a transmission channel, despite its significant presence in various economies. Substantial efforts have instead focused on validating the resource curse through other transmission channels, such as the Dutch disease, resource price variability, rent-seeking, human capital, savings-investment, and money-inflation mechanisms (</w:t>
      </w:r>
      <w:r w:rsidR="005232B8">
        <w:t xml:space="preserve">David et al., 2024; </w:t>
      </w:r>
      <w:proofErr w:type="spellStart"/>
      <w:r>
        <w:t>Eregha</w:t>
      </w:r>
      <w:proofErr w:type="spellEnd"/>
      <w:r>
        <w:t xml:space="preserve"> &amp; </w:t>
      </w:r>
      <w:proofErr w:type="spellStart"/>
      <w:r>
        <w:t>Mesagan</w:t>
      </w:r>
      <w:proofErr w:type="spellEnd"/>
      <w:r>
        <w:t xml:space="preserve">, 2020; </w:t>
      </w:r>
      <w:proofErr w:type="spellStart"/>
      <w:r>
        <w:t>Papyrakis</w:t>
      </w:r>
      <w:proofErr w:type="spellEnd"/>
      <w:r>
        <w:t xml:space="preserve"> &amp; </w:t>
      </w:r>
      <w:proofErr w:type="spellStart"/>
      <w:r>
        <w:t>Gerlagh</w:t>
      </w:r>
      <w:proofErr w:type="spellEnd"/>
      <w:r>
        <w:t>, 2004).</w:t>
      </w:r>
    </w:p>
    <w:p w14:paraId="6EEE054F" w14:textId="37468709" w:rsidR="009C377F" w:rsidRDefault="009C377F" w:rsidP="009C377F">
      <w:pPr>
        <w:spacing w:before="120" w:after="0"/>
        <w:rPr>
          <w:szCs w:val="24"/>
        </w:rPr>
      </w:pPr>
      <w:r w:rsidRPr="009C377F">
        <w:rPr>
          <w:szCs w:val="24"/>
        </w:rPr>
        <w:t>Our analysis adopts an approach similar to that of David (2024), which investigates how the negative effects of oil prices on economic growth in oil-rich economies are transmitted through corruption. Using a quarterly time-series dataset for the period 1990-2022, we apply the bootstrap autoregressive distributed lag (ARDL) bounds testing methodology to demonstrate that the underground economy is a crucial channel through which oil wealth exerts a significant negative impact on long-term growth. The findings reveal that, while oil wealth promotes economic growth, the underground economy undermines long-term growth prospects, with the marginal effect of oil wealth depending on the size of the underground economy. Specifically, the positive impact of oil wealth on growth is stronger when the underground economy is relatively small, whereas an extensive underground economy allows oil wealth to impede growth.</w:t>
      </w:r>
      <w:r>
        <w:rPr>
          <w:szCs w:val="24"/>
        </w:rPr>
        <w:t xml:space="preserve"> </w:t>
      </w:r>
      <w:r w:rsidRPr="009C377F">
        <w:rPr>
          <w:szCs w:val="24"/>
        </w:rPr>
        <w:t>We highlight the need for a country to achieve sustained long-term growth by coupling increases in oil wealth with substantial efforts to reduce the size of the underground economy.</w:t>
      </w:r>
    </w:p>
    <w:p w14:paraId="5794757D" w14:textId="64215CB2" w:rsidR="00B72274" w:rsidRDefault="00B72274" w:rsidP="009C377F">
      <w:pPr>
        <w:spacing w:before="120" w:after="0"/>
        <w:rPr>
          <w:szCs w:val="24"/>
        </w:rPr>
      </w:pPr>
      <w:r w:rsidRPr="00B72274">
        <w:rPr>
          <w:szCs w:val="24"/>
        </w:rPr>
        <w:t xml:space="preserve">In this paper, we make three </w:t>
      </w:r>
      <w:r w:rsidR="00B20A6B">
        <w:rPr>
          <w:szCs w:val="24"/>
        </w:rPr>
        <w:t xml:space="preserve">important </w:t>
      </w:r>
      <w:r w:rsidRPr="00B72274">
        <w:rPr>
          <w:szCs w:val="24"/>
        </w:rPr>
        <w:t xml:space="preserve">contributions. First, we provide a pioneering analysis of how the size of the underground economy influences the impact of oil wealth on economic growth. </w:t>
      </w:r>
      <w:r w:rsidRPr="00B72274">
        <w:rPr>
          <w:szCs w:val="24"/>
        </w:rPr>
        <w:lastRenderedPageBreak/>
        <w:t>Focusing on Nigeria—a major oil-producing country characterised by a history of unimpressive economic performance and a large underground economy—offers a unique opportunity to investigate the validity of the resource-curse phenomenon through the lens of the underground economy. Second, by employing the novel bootstrap autoregressive distributed lag (ARDL) model, we address issues such as weak size and power properties and inconclusive inferences in traditional econometric approaches. This technique allows us to draw more accurate conclusions regarding the long-run relationship between oil wealth, the underground economy, and growth. Additionally, the use of high-frequency quarterly data enhances the robustness and precision of our findings.</w:t>
      </w:r>
      <w:r>
        <w:rPr>
          <w:szCs w:val="24"/>
        </w:rPr>
        <w:t xml:space="preserve"> </w:t>
      </w:r>
      <w:r w:rsidRPr="00B72274">
        <w:rPr>
          <w:szCs w:val="24"/>
        </w:rPr>
        <w:t>Lastly, the findings of this study are expected to rekindle debate on the topic and extend the frontiers of knowledge among economists, researchers, policy analysts, and policymakers in Nigeria, as well as in other oil-rich countries and beyond.</w:t>
      </w:r>
    </w:p>
    <w:p w14:paraId="0D184D25" w14:textId="2AECC028" w:rsidR="002A3DE8" w:rsidRPr="006C520E" w:rsidRDefault="002A3DE8" w:rsidP="00B72274">
      <w:pPr>
        <w:spacing w:before="120" w:after="0"/>
        <w:rPr>
          <w:szCs w:val="24"/>
        </w:rPr>
      </w:pPr>
      <w:r w:rsidRPr="006C520E">
        <w:rPr>
          <w:szCs w:val="24"/>
        </w:rPr>
        <w:t xml:space="preserve">The paper proceeds as follows. </w:t>
      </w:r>
      <w:r>
        <w:t>Section 2 presents the stylised facts on oil wealth, the underground economy, and the Nigerian economy. In Section 3, we outline the theoretical framework, specify the model, and describe the data used in the study. This section also discusses the econometric technique employed. Section 4 is dedicated to the results, beginning with an examination of the stationarity properties of the data, followed by the findings from the bounds-testing procedure and the main empirical results. The policy implications of these findings are also discussed in Section 4. Finally, Section 5 concludes the study.</w:t>
      </w:r>
    </w:p>
    <w:p w14:paraId="282E5592" w14:textId="25BA42EC" w:rsidR="00711800" w:rsidRPr="006C520E" w:rsidRDefault="00711800" w:rsidP="00711800">
      <w:pPr>
        <w:pStyle w:val="Heading1"/>
        <w:spacing w:before="120" w:line="240" w:lineRule="auto"/>
        <w:rPr>
          <w:rFonts w:ascii="Garamond" w:hAnsi="Garamond"/>
          <w:b/>
          <w:color w:val="auto"/>
          <w:sz w:val="24"/>
          <w:szCs w:val="24"/>
          <w:lang w:val="en-GB"/>
        </w:rPr>
      </w:pPr>
      <w:r w:rsidRPr="006C520E">
        <w:rPr>
          <w:rFonts w:ascii="Garamond" w:hAnsi="Garamond"/>
          <w:b/>
          <w:color w:val="auto"/>
          <w:sz w:val="24"/>
          <w:szCs w:val="24"/>
          <w:highlight w:val="yellow"/>
          <w:lang w:val="en-GB"/>
        </w:rPr>
        <w:t>2</w:t>
      </w:r>
      <w:r w:rsidR="00BC6CA9" w:rsidRPr="006C520E">
        <w:rPr>
          <w:rFonts w:ascii="Garamond" w:hAnsi="Garamond"/>
          <w:b/>
          <w:color w:val="auto"/>
          <w:sz w:val="24"/>
          <w:szCs w:val="24"/>
          <w:highlight w:val="yellow"/>
          <w:lang w:val="en-GB"/>
        </w:rPr>
        <w:t xml:space="preserve"> </w:t>
      </w:r>
      <w:r w:rsidRPr="006C520E">
        <w:rPr>
          <w:rFonts w:ascii="Garamond" w:hAnsi="Garamond"/>
          <w:b/>
          <w:color w:val="auto"/>
          <w:sz w:val="24"/>
          <w:szCs w:val="24"/>
          <w:highlight w:val="yellow"/>
          <w:lang w:val="en-GB"/>
        </w:rPr>
        <w:t>Stylised facts on oil wealth, the underground economy and the Nigerian economy</w:t>
      </w:r>
    </w:p>
    <w:p w14:paraId="1B598756" w14:textId="6728376C" w:rsidR="00694D72" w:rsidRPr="006C520E" w:rsidRDefault="00694D72" w:rsidP="00694D72">
      <w:pPr>
        <w:rPr>
          <w:bCs/>
          <w:szCs w:val="24"/>
        </w:rPr>
      </w:pPr>
      <w:r w:rsidRPr="006C520E">
        <w:rPr>
          <w:bCs/>
          <w:szCs w:val="24"/>
          <w:highlight w:val="yellow"/>
        </w:rPr>
        <w:t xml:space="preserve">Nigeria’s economy is significantly shaped by its dependence on oil and the pervasive presence of the underground economy. These two factors, intertwined with the country’s structural economic challenges, have profound implications for its growth and development. </w:t>
      </w:r>
      <w:r w:rsidR="00D84043" w:rsidRPr="006C520E">
        <w:rPr>
          <w:bCs/>
          <w:szCs w:val="24"/>
          <w:highlight w:val="yellow"/>
        </w:rPr>
        <w:t xml:space="preserve">As one of the largest oil producers in Africa, </w:t>
      </w:r>
      <w:r w:rsidRPr="006C520E">
        <w:rPr>
          <w:bCs/>
          <w:szCs w:val="24"/>
          <w:highlight w:val="yellow"/>
        </w:rPr>
        <w:t xml:space="preserve">Oil has long played a dominant role in Nigeria’s economy. Since the discovery, exploitation, and subsequent exportation of crude oil, it has continued to play a critical role in the nation’s fiscal and monetary policy, providing over 90 per cent of foreign exchange earnings and more than 70 percent of </w:t>
      </w:r>
      <w:r w:rsidR="000B6DB2" w:rsidRPr="006C520E">
        <w:rPr>
          <w:bCs/>
          <w:szCs w:val="24"/>
          <w:highlight w:val="yellow"/>
        </w:rPr>
        <w:t>public</w:t>
      </w:r>
      <w:r w:rsidRPr="006C520E">
        <w:rPr>
          <w:bCs/>
          <w:szCs w:val="24"/>
          <w:highlight w:val="yellow"/>
        </w:rPr>
        <w:t xml:space="preserve"> revenue (CBN, 2022; World Bank, 2024). Data from the World Bank indicate that oil has generated over US$942.517 billion for Nigeria’s coffers between 1970 and 2021, with an average of US$25.936 billion accrued annually during the 1990-2021 period (see Figure 1). Despite contributing only 8 to 10 percent to the Gross Domestic Product (GDP), oil’s significance lies in its role as the primary source of fiscal revenue and foreign exchange. While Nigeria’s abundant crude oil reserves have supported the economy through increased revenue, infrastructural development, and foreign investment, the country’s heavy reliance on oil has also made it vulnerable to the volatile nature of global oil prices</w:t>
      </w:r>
      <w:r w:rsidR="00F80185" w:rsidRPr="006C520E">
        <w:rPr>
          <w:bCs/>
          <w:szCs w:val="24"/>
          <w:highlight w:val="yellow"/>
        </w:rPr>
        <w:t xml:space="preserve"> (David et al., 2024)</w:t>
      </w:r>
      <w:r w:rsidRPr="006C520E">
        <w:rPr>
          <w:bCs/>
          <w:szCs w:val="24"/>
          <w:highlight w:val="yellow"/>
        </w:rPr>
        <w:t>. This dependency has resulted in cyclical periods of economic boom during high prices and recessionary pressures when prices fall.</w:t>
      </w:r>
    </w:p>
    <w:p w14:paraId="4051078C" w14:textId="6B514201" w:rsidR="00891886" w:rsidRPr="006C520E" w:rsidRDefault="00891886" w:rsidP="00694D72">
      <w:r w:rsidRPr="006C520E">
        <w:rPr>
          <w:highlight w:val="yellow"/>
        </w:rPr>
        <w:t xml:space="preserve">The effects of oil price fluctuations are evident. For instance, while the oil booms of the early 1970s, 2007/2008, and 2011/2012 boosted the country’s revenue potential and overall economic performance, negative shocks in global oil prices in 2009, 2015, and 2020 led to significant declines in oil revenue and economic contractions. As shown in Figure 1, positive shocks in oil prices in 1996, 2008, 2011, and 2018 led to increases in oil revenue and corresponding economic growth rates of 4.196 percent, 6.764 percent, 5.308 percent, and 1.923 percent, respectively. In contrast, the economy contracted from 5.308 percent in 2008 to 4.23 percent in 2009; from 6.309 percent in 2014 to 2.653 percent in 2015 and -1.617 percent in 2016; and from 2.208 percent in 2019 to -1.794 per cent in 2020 following negative oil price shocks. These downturns also led to a widening fiscal deficit and an increase in public debt, rising from 27.6 per cent of GDP in 2019 to 35 per cent in 2021 (CBN, 2022). Despite the considerable wealth accrued from oil sales, Nigeria continues to struggle with translating </w:t>
      </w:r>
      <w:r w:rsidRPr="006C520E">
        <w:rPr>
          <w:highlight w:val="yellow"/>
        </w:rPr>
        <w:lastRenderedPageBreak/>
        <w:t xml:space="preserve">oil revenues into sustainable development outcomes, such as poverty reduction, infrastructural improvements, and inclusive economic growth, which reflects the symptoms of the </w:t>
      </w:r>
      <w:r w:rsidR="00897AE9" w:rsidRPr="006C520E">
        <w:rPr>
          <w:highlight w:val="yellow"/>
        </w:rPr>
        <w:t>“</w:t>
      </w:r>
      <w:r w:rsidRPr="006C520E">
        <w:rPr>
          <w:highlight w:val="yellow"/>
        </w:rPr>
        <w:t>resource curse.</w:t>
      </w:r>
      <w:r w:rsidR="00897AE9" w:rsidRPr="006C520E">
        <w:rPr>
          <w:highlight w:val="yellow"/>
        </w:rPr>
        <w:t>”</w:t>
      </w:r>
    </w:p>
    <w:p w14:paraId="082B3479" w14:textId="77777777" w:rsidR="006C520E" w:rsidRPr="006C520E" w:rsidRDefault="006C520E" w:rsidP="006C520E">
      <w:pPr>
        <w:spacing w:after="0"/>
        <w:rPr>
          <w:bCs/>
          <w:szCs w:val="24"/>
        </w:rPr>
      </w:pPr>
      <w:r w:rsidRPr="006C520E">
        <w:rPr>
          <w:noProof/>
        </w:rPr>
        <w:drawing>
          <wp:inline distT="0" distB="0" distL="0" distR="0" wp14:anchorId="598E3640" wp14:editId="3FC40C51">
            <wp:extent cx="5956300" cy="3416300"/>
            <wp:effectExtent l="0" t="0" r="6350" b="12700"/>
            <wp:docPr id="1" name="Chart 1">
              <a:extLst xmlns:a="http://schemas.openxmlformats.org/drawingml/2006/main">
                <a:ext uri="{FF2B5EF4-FFF2-40B4-BE49-F238E27FC236}">
                  <a16:creationId xmlns:a16="http://schemas.microsoft.com/office/drawing/2014/main" id="{DBB90E87-6572-1C70-2577-E2E548203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88C2DF" w14:textId="77777777" w:rsidR="006C520E" w:rsidRPr="006C520E" w:rsidRDefault="006C520E" w:rsidP="006C520E">
      <w:pPr>
        <w:spacing w:after="0"/>
        <w:rPr>
          <w:bCs/>
          <w:sz w:val="20"/>
          <w:szCs w:val="20"/>
        </w:rPr>
      </w:pPr>
      <w:r w:rsidRPr="006C520E">
        <w:rPr>
          <w:bCs/>
          <w:sz w:val="20"/>
          <w:szCs w:val="20"/>
        </w:rPr>
        <w:t>Figure 1 Plots of Nigeria’s economic growth performance, oil rent and underground economy</w:t>
      </w:r>
    </w:p>
    <w:p w14:paraId="25A8D8B4" w14:textId="77777777" w:rsidR="006C520E" w:rsidRPr="006C520E" w:rsidRDefault="006C520E" w:rsidP="006C520E">
      <w:pPr>
        <w:rPr>
          <w:bCs/>
          <w:szCs w:val="24"/>
        </w:rPr>
      </w:pPr>
      <w:r w:rsidRPr="006C520E">
        <w:rPr>
          <w:bCs/>
          <w:sz w:val="20"/>
          <w:szCs w:val="20"/>
        </w:rPr>
        <w:t>Source: Authors’ computation based on data from World Bank’s World Development Indicators (WDI) and Medina and Schneider (2019)</w:t>
      </w:r>
    </w:p>
    <w:p w14:paraId="6067F7DA" w14:textId="27E54399" w:rsidR="001807AB" w:rsidRPr="006C520E" w:rsidRDefault="001807AB" w:rsidP="001807AB">
      <w:pPr>
        <w:rPr>
          <w:bCs/>
          <w:szCs w:val="24"/>
        </w:rPr>
      </w:pPr>
      <w:r w:rsidRPr="006C520E">
        <w:rPr>
          <w:bCs/>
          <w:szCs w:val="24"/>
          <w:highlight w:val="yellow"/>
        </w:rPr>
        <w:t>Simultaneously, Nigeria has one of the largest underground economies in Africa (Dada et al., 2024). According to estimates by Medina and Schneider (2019), the underground economy relative to GDP between 1991 and 2017 ranged from 47.6 percent to 60 percent, with an average of 56.78 percent (see Figure 1). The underground economy encompasses a variety of informal economic activities, including unregistered businesses, informal employment, tax evasion, and illegal trade (</w:t>
      </w:r>
      <w:proofErr w:type="spellStart"/>
      <w:r w:rsidRPr="006C520E">
        <w:rPr>
          <w:bCs/>
          <w:szCs w:val="24"/>
          <w:highlight w:val="yellow"/>
        </w:rPr>
        <w:t>Sakanko</w:t>
      </w:r>
      <w:proofErr w:type="spellEnd"/>
      <w:r w:rsidRPr="006C520E">
        <w:rPr>
          <w:bCs/>
          <w:szCs w:val="24"/>
          <w:highlight w:val="yellow"/>
        </w:rPr>
        <w:t xml:space="preserve"> et al., 2024). Several factors contribute to its substantial size, such as high poverty rates, widespread unemployment, inadequate financial inclusion, and the prevalence of cash-based transactions (</w:t>
      </w:r>
      <w:r w:rsidR="00904B75" w:rsidRPr="006C520E">
        <w:rPr>
          <w:bCs/>
          <w:szCs w:val="24"/>
          <w:highlight w:val="yellow"/>
        </w:rPr>
        <w:t xml:space="preserve">Abu et al., 2022c; </w:t>
      </w:r>
      <w:r w:rsidRPr="006C520E">
        <w:rPr>
          <w:bCs/>
          <w:szCs w:val="24"/>
          <w:highlight w:val="yellow"/>
        </w:rPr>
        <w:t>Dada et al., 2024</w:t>
      </w:r>
      <w:r w:rsidR="00904B75" w:rsidRPr="006C520E">
        <w:rPr>
          <w:bCs/>
          <w:szCs w:val="24"/>
          <w:highlight w:val="yellow"/>
        </w:rPr>
        <w:t xml:space="preserve">; </w:t>
      </w:r>
      <w:proofErr w:type="spellStart"/>
      <w:r w:rsidR="00904B75" w:rsidRPr="006C520E">
        <w:rPr>
          <w:bCs/>
          <w:szCs w:val="24"/>
          <w:highlight w:val="yellow"/>
        </w:rPr>
        <w:t>Sakanko</w:t>
      </w:r>
      <w:proofErr w:type="spellEnd"/>
      <w:r w:rsidR="00904B75" w:rsidRPr="006C520E">
        <w:rPr>
          <w:bCs/>
          <w:szCs w:val="24"/>
          <w:highlight w:val="yellow"/>
        </w:rPr>
        <w:t xml:space="preserve"> et al., 2024</w:t>
      </w:r>
      <w:r w:rsidRPr="006C520E">
        <w:rPr>
          <w:bCs/>
          <w:szCs w:val="24"/>
          <w:highlight w:val="yellow"/>
        </w:rPr>
        <w:t xml:space="preserve">). </w:t>
      </w:r>
      <w:r w:rsidR="009659EF" w:rsidRPr="006C520E">
        <w:rPr>
          <w:bCs/>
          <w:szCs w:val="24"/>
          <w:highlight w:val="yellow"/>
        </w:rPr>
        <w:t>T</w:t>
      </w:r>
      <w:r w:rsidRPr="006C520E">
        <w:rPr>
          <w:bCs/>
          <w:szCs w:val="24"/>
          <w:highlight w:val="yellow"/>
        </w:rPr>
        <w:t xml:space="preserve">he </w:t>
      </w:r>
      <w:r w:rsidR="009659EF" w:rsidRPr="006C520E">
        <w:rPr>
          <w:bCs/>
          <w:szCs w:val="24"/>
          <w:highlight w:val="yellow"/>
        </w:rPr>
        <w:t xml:space="preserve">underground economy </w:t>
      </w:r>
      <w:r w:rsidRPr="006C520E">
        <w:rPr>
          <w:bCs/>
          <w:szCs w:val="24"/>
          <w:highlight w:val="yellow"/>
        </w:rPr>
        <w:t>serves as a vital source of income and employment for a significant portion of the population, particularly in rural areas and among the urban poor (</w:t>
      </w:r>
      <w:proofErr w:type="spellStart"/>
      <w:r w:rsidRPr="006C520E">
        <w:rPr>
          <w:bCs/>
          <w:szCs w:val="24"/>
          <w:highlight w:val="yellow"/>
        </w:rPr>
        <w:t>Ajide</w:t>
      </w:r>
      <w:proofErr w:type="spellEnd"/>
      <w:r w:rsidRPr="006C520E">
        <w:rPr>
          <w:bCs/>
          <w:szCs w:val="24"/>
          <w:highlight w:val="yellow"/>
        </w:rPr>
        <w:t xml:space="preserve"> et al., 2024; Ishak &amp; </w:t>
      </w:r>
      <w:proofErr w:type="spellStart"/>
      <w:r w:rsidRPr="006C520E">
        <w:rPr>
          <w:bCs/>
          <w:szCs w:val="24"/>
          <w:highlight w:val="yellow"/>
        </w:rPr>
        <w:t>Farzanegan</w:t>
      </w:r>
      <w:proofErr w:type="spellEnd"/>
      <w:r w:rsidRPr="006C520E">
        <w:rPr>
          <w:bCs/>
          <w:szCs w:val="24"/>
          <w:highlight w:val="yellow"/>
        </w:rPr>
        <w:t xml:space="preserve">, 2022). While the underground economy helps alleviate poverty and provide goods and services that may not be available through formal channels, its expansion poses challenges. Evidence shows that it undermines tax revenue collection, complicates macroeconomic management, and impedes the development of formal economic institutions, among other adverse consequences (Medina &amp; Schneider, 2019; </w:t>
      </w:r>
      <w:proofErr w:type="spellStart"/>
      <w:r w:rsidRPr="006C520E">
        <w:rPr>
          <w:bCs/>
          <w:szCs w:val="24"/>
          <w:highlight w:val="yellow"/>
        </w:rPr>
        <w:t>Sakanko</w:t>
      </w:r>
      <w:proofErr w:type="spellEnd"/>
      <w:r w:rsidRPr="006C520E">
        <w:rPr>
          <w:bCs/>
          <w:szCs w:val="24"/>
          <w:highlight w:val="yellow"/>
        </w:rPr>
        <w:t xml:space="preserve"> et al., 2024).</w:t>
      </w:r>
    </w:p>
    <w:p w14:paraId="215F05C6" w14:textId="2054ABF2" w:rsidR="00FE0CA4" w:rsidRPr="006C520E" w:rsidRDefault="00FE0CA4" w:rsidP="00FE0CA4">
      <w:pPr>
        <w:rPr>
          <w:bCs/>
          <w:szCs w:val="24"/>
        </w:rPr>
      </w:pPr>
      <w:r w:rsidRPr="006C520E">
        <w:rPr>
          <w:bCs/>
          <w:szCs w:val="24"/>
          <w:highlight w:val="yellow"/>
        </w:rPr>
        <w:t xml:space="preserve">The relationship between oil wealth and the underground economy in Nigeria is complex and often symbiotic. Like most countries with abundant natural resources and heavy reliance on them, high oil revenues have reduced the government’s incentive to broaden the tax base and enhance tax enforcement, allowing the underground economy to flourish. This dependence on oil revenues diminishes the urgency to develop alternative revenue sources, resulting in limited fiscal capacity to invest in public goods and services. As argued by Ishak and </w:t>
      </w:r>
      <w:proofErr w:type="spellStart"/>
      <w:r w:rsidRPr="006C520E">
        <w:rPr>
          <w:bCs/>
          <w:szCs w:val="24"/>
          <w:highlight w:val="yellow"/>
        </w:rPr>
        <w:t>Farzanegan</w:t>
      </w:r>
      <w:proofErr w:type="spellEnd"/>
      <w:r w:rsidRPr="006C520E">
        <w:rPr>
          <w:bCs/>
          <w:szCs w:val="24"/>
          <w:highlight w:val="yellow"/>
        </w:rPr>
        <w:t xml:space="preserve"> (2020), reliance on oil revenues has made efforts to increase public revenue following declines in oil </w:t>
      </w:r>
      <w:r w:rsidR="009358B8" w:rsidRPr="006C520E">
        <w:rPr>
          <w:bCs/>
          <w:szCs w:val="24"/>
          <w:highlight w:val="yellow"/>
        </w:rPr>
        <w:t xml:space="preserve">revenue </w:t>
      </w:r>
      <w:r w:rsidRPr="006C520E">
        <w:rPr>
          <w:bCs/>
          <w:szCs w:val="24"/>
          <w:highlight w:val="yellow"/>
        </w:rPr>
        <w:t xml:space="preserve">largely ineffective, pushing more individuals into the underground economy. The prevalence of corruption, inefficient </w:t>
      </w:r>
      <w:r w:rsidRPr="006C520E">
        <w:rPr>
          <w:bCs/>
          <w:szCs w:val="24"/>
          <w:highlight w:val="yellow"/>
        </w:rPr>
        <w:lastRenderedPageBreak/>
        <w:t>bureaucracy, and weak economic institutions further exacerbate the situation. Moreover, economic downturns triggered by falling oil prices push more economic activities into the underground economy. Reduced formal job opportunities and cutbacks in public expenditure during periods of low oil revenue force individuals and businesses to resort to informal economic activities for survival. Ultimately, the country’s dependence on oil has not only made it susceptible to external shocks but has also facilitated the growth of the underground economy by weakening incentives for formal economic development.</w:t>
      </w:r>
    </w:p>
    <w:p w14:paraId="6445B8F2" w14:textId="606EDBE7" w:rsidR="00601308" w:rsidRPr="006C520E" w:rsidRDefault="004206D4" w:rsidP="00514CF5">
      <w:pPr>
        <w:pStyle w:val="Heading1"/>
        <w:spacing w:before="120" w:line="240" w:lineRule="auto"/>
        <w:rPr>
          <w:rFonts w:ascii="Garamond" w:hAnsi="Garamond"/>
          <w:b/>
          <w:color w:val="auto"/>
          <w:sz w:val="24"/>
          <w:szCs w:val="24"/>
          <w:lang w:val="en-GB"/>
        </w:rPr>
      </w:pPr>
      <w:r w:rsidRPr="006C520E">
        <w:rPr>
          <w:rFonts w:ascii="Garamond" w:hAnsi="Garamond"/>
          <w:b/>
          <w:color w:val="auto"/>
          <w:sz w:val="24"/>
          <w:szCs w:val="24"/>
          <w:lang w:val="en-GB"/>
        </w:rPr>
        <w:t>3</w:t>
      </w:r>
      <w:r w:rsidR="00601308" w:rsidRPr="006C520E">
        <w:rPr>
          <w:rFonts w:ascii="Garamond" w:hAnsi="Garamond"/>
          <w:b/>
          <w:color w:val="auto"/>
          <w:sz w:val="24"/>
          <w:szCs w:val="24"/>
          <w:lang w:val="en-GB"/>
        </w:rPr>
        <w:t xml:space="preserve"> </w:t>
      </w:r>
      <w:r w:rsidR="00E3232B" w:rsidRPr="006C520E">
        <w:rPr>
          <w:rFonts w:ascii="Garamond" w:hAnsi="Garamond"/>
          <w:b/>
          <w:color w:val="auto"/>
          <w:sz w:val="24"/>
          <w:szCs w:val="24"/>
          <w:highlight w:val="yellow"/>
          <w:lang w:val="en-GB"/>
        </w:rPr>
        <w:t xml:space="preserve">Theoretical </w:t>
      </w:r>
      <w:r w:rsidR="006331E6" w:rsidRPr="006C520E">
        <w:rPr>
          <w:rFonts w:ascii="Garamond" w:hAnsi="Garamond"/>
          <w:b/>
          <w:color w:val="auto"/>
          <w:sz w:val="24"/>
          <w:szCs w:val="24"/>
          <w:highlight w:val="yellow"/>
          <w:lang w:val="en-GB"/>
        </w:rPr>
        <w:t>background</w:t>
      </w:r>
      <w:r w:rsidR="00E3232B" w:rsidRPr="006C520E">
        <w:rPr>
          <w:rFonts w:ascii="Garamond" w:hAnsi="Garamond"/>
          <w:b/>
          <w:color w:val="auto"/>
          <w:sz w:val="24"/>
          <w:szCs w:val="24"/>
          <w:highlight w:val="yellow"/>
          <w:lang w:val="en-GB"/>
        </w:rPr>
        <w:t>, d</w:t>
      </w:r>
      <w:r w:rsidR="00601308" w:rsidRPr="006C520E">
        <w:rPr>
          <w:rFonts w:ascii="Garamond" w:hAnsi="Garamond"/>
          <w:b/>
          <w:color w:val="auto"/>
          <w:sz w:val="24"/>
          <w:szCs w:val="24"/>
          <w:lang w:val="en-GB"/>
        </w:rPr>
        <w:t>ata</w:t>
      </w:r>
      <w:r w:rsidR="00E3232B" w:rsidRPr="006C520E">
        <w:rPr>
          <w:rFonts w:ascii="Garamond" w:hAnsi="Garamond"/>
          <w:b/>
          <w:color w:val="auto"/>
          <w:sz w:val="24"/>
          <w:szCs w:val="24"/>
          <w:lang w:val="en-GB"/>
        </w:rPr>
        <w:t>,</w:t>
      </w:r>
      <w:r w:rsidR="00601308" w:rsidRPr="006C520E">
        <w:rPr>
          <w:rFonts w:ascii="Garamond" w:hAnsi="Garamond"/>
          <w:b/>
          <w:color w:val="auto"/>
          <w:sz w:val="24"/>
          <w:szCs w:val="24"/>
          <w:lang w:val="en-GB"/>
        </w:rPr>
        <w:t xml:space="preserve"> and </w:t>
      </w:r>
      <w:r w:rsidR="005C1716" w:rsidRPr="006C520E">
        <w:rPr>
          <w:rFonts w:ascii="Garamond" w:hAnsi="Garamond"/>
          <w:b/>
          <w:color w:val="auto"/>
          <w:sz w:val="24"/>
          <w:szCs w:val="24"/>
          <w:lang w:val="en-GB"/>
        </w:rPr>
        <w:t>m</w:t>
      </w:r>
      <w:r w:rsidR="00601308" w:rsidRPr="006C520E">
        <w:rPr>
          <w:rFonts w:ascii="Garamond" w:hAnsi="Garamond"/>
          <w:b/>
          <w:color w:val="auto"/>
          <w:sz w:val="24"/>
          <w:szCs w:val="24"/>
          <w:lang w:val="en-GB"/>
        </w:rPr>
        <w:t>ethodology</w:t>
      </w:r>
    </w:p>
    <w:p w14:paraId="3E47E134" w14:textId="7C26E27F" w:rsidR="00C860C5" w:rsidRPr="006C520E" w:rsidRDefault="004206D4" w:rsidP="00C860C5">
      <w:pPr>
        <w:pStyle w:val="Heading2"/>
        <w:rPr>
          <w:rFonts w:ascii="Garamond" w:hAnsi="Garamond"/>
          <w:bCs/>
          <w:i/>
          <w:iCs/>
          <w:color w:val="auto"/>
          <w:sz w:val="24"/>
          <w:szCs w:val="24"/>
          <w:highlight w:val="yellow"/>
        </w:rPr>
      </w:pPr>
      <w:r w:rsidRPr="006C520E">
        <w:rPr>
          <w:rFonts w:ascii="Garamond" w:hAnsi="Garamond"/>
          <w:bCs/>
          <w:i/>
          <w:iCs/>
          <w:color w:val="auto"/>
          <w:sz w:val="24"/>
          <w:szCs w:val="24"/>
          <w:highlight w:val="yellow"/>
        </w:rPr>
        <w:t>3</w:t>
      </w:r>
      <w:r w:rsidR="00C860C5" w:rsidRPr="006C520E">
        <w:rPr>
          <w:rFonts w:ascii="Garamond" w:hAnsi="Garamond"/>
          <w:bCs/>
          <w:i/>
          <w:iCs/>
          <w:color w:val="auto"/>
          <w:sz w:val="24"/>
          <w:szCs w:val="24"/>
          <w:highlight w:val="yellow"/>
        </w:rPr>
        <w:t xml:space="preserve">.1 Theoretical </w:t>
      </w:r>
      <w:r w:rsidR="006331E6" w:rsidRPr="006C520E">
        <w:rPr>
          <w:rFonts w:ascii="Garamond" w:hAnsi="Garamond"/>
          <w:bCs/>
          <w:i/>
          <w:iCs/>
          <w:color w:val="auto"/>
          <w:sz w:val="24"/>
          <w:szCs w:val="24"/>
          <w:highlight w:val="yellow"/>
        </w:rPr>
        <w:t>background</w:t>
      </w:r>
    </w:p>
    <w:p w14:paraId="43277C8D" w14:textId="0DE501D7" w:rsidR="008D43BA" w:rsidRPr="006C520E" w:rsidRDefault="008D43BA" w:rsidP="008D43BA">
      <w:pPr>
        <w:rPr>
          <w:rFonts w:cs="Times New Roman"/>
          <w:szCs w:val="24"/>
          <w:highlight w:val="yellow"/>
        </w:rPr>
      </w:pPr>
      <w:r w:rsidRPr="006C520E">
        <w:rPr>
          <w:rFonts w:cs="Times New Roman"/>
          <w:szCs w:val="24"/>
          <w:highlight w:val="yellow"/>
        </w:rPr>
        <w:t xml:space="preserve">A comprehensive theory explaining the role of the underground economy in the oil wealth-growth relationship is challenging to find. However, a link between oil wealth, the underground economy, and economic growth can be forged through the well-known </w:t>
      </w:r>
      <w:r w:rsidR="005F0B79" w:rsidRPr="006C520E">
        <w:rPr>
          <w:rFonts w:cs="Times New Roman"/>
          <w:szCs w:val="24"/>
          <w:highlight w:val="yellow"/>
        </w:rPr>
        <w:t>“</w:t>
      </w:r>
      <w:r w:rsidRPr="006C520E">
        <w:rPr>
          <w:rFonts w:cs="Times New Roman"/>
          <w:szCs w:val="24"/>
          <w:highlight w:val="yellow"/>
        </w:rPr>
        <w:t>resource curse</w:t>
      </w:r>
      <w:r w:rsidR="005F0B79" w:rsidRPr="006C520E">
        <w:rPr>
          <w:rFonts w:cs="Times New Roman"/>
          <w:szCs w:val="24"/>
          <w:highlight w:val="yellow"/>
        </w:rPr>
        <w:t>”</w:t>
      </w:r>
      <w:r w:rsidRPr="006C520E">
        <w:rPr>
          <w:rFonts w:cs="Times New Roman"/>
          <w:szCs w:val="24"/>
          <w:highlight w:val="yellow"/>
        </w:rPr>
        <w:t xml:space="preserve"> hypothesis (RCH) popularized by Sachs and Warner (1995) and the Ishak-</w:t>
      </w:r>
      <w:proofErr w:type="spellStart"/>
      <w:r w:rsidRPr="006C520E">
        <w:rPr>
          <w:rFonts w:cs="Times New Roman"/>
          <w:szCs w:val="24"/>
          <w:highlight w:val="yellow"/>
        </w:rPr>
        <w:t>Farzanegan</w:t>
      </w:r>
      <w:proofErr w:type="spellEnd"/>
      <w:r w:rsidRPr="006C520E">
        <w:rPr>
          <w:rFonts w:cs="Times New Roman"/>
          <w:szCs w:val="24"/>
          <w:highlight w:val="yellow"/>
        </w:rPr>
        <w:t xml:space="preserve"> model of the oil rent-taxation-shadow economy relationship (Ishak &amp; </w:t>
      </w:r>
      <w:proofErr w:type="spellStart"/>
      <w:r w:rsidRPr="006C520E">
        <w:rPr>
          <w:rFonts w:cs="Times New Roman"/>
          <w:szCs w:val="24"/>
          <w:highlight w:val="yellow"/>
        </w:rPr>
        <w:t>Farzanegan</w:t>
      </w:r>
      <w:proofErr w:type="spellEnd"/>
      <w:r w:rsidRPr="006C520E">
        <w:rPr>
          <w:rFonts w:cs="Times New Roman"/>
          <w:szCs w:val="24"/>
          <w:highlight w:val="yellow"/>
        </w:rPr>
        <w:t xml:space="preserve">, 2020). According to the RCH, countries rich in natural resources, such as oil, often experience slower economic growth compared to resource-poor countries due to factors like economic volatility, institutional weaknesses, and misallocation of resources (Dada &amp; </w:t>
      </w:r>
      <w:proofErr w:type="spellStart"/>
      <w:r w:rsidRPr="006C520E">
        <w:rPr>
          <w:rFonts w:cs="Times New Roman"/>
          <w:szCs w:val="24"/>
          <w:highlight w:val="yellow"/>
        </w:rPr>
        <w:t>Abanikanda</w:t>
      </w:r>
      <w:proofErr w:type="spellEnd"/>
      <w:r w:rsidRPr="006C520E">
        <w:rPr>
          <w:rFonts w:cs="Times New Roman"/>
          <w:szCs w:val="24"/>
          <w:highlight w:val="yellow"/>
        </w:rPr>
        <w:t xml:space="preserve">, 2019; David et al., 2024; Sachs &amp; Warner, 1995). The </w:t>
      </w:r>
      <w:r w:rsidR="005F0B79" w:rsidRPr="006C520E">
        <w:rPr>
          <w:rFonts w:cs="Times New Roman"/>
          <w:szCs w:val="24"/>
          <w:highlight w:val="yellow"/>
        </w:rPr>
        <w:t xml:space="preserve">underground </w:t>
      </w:r>
      <w:r w:rsidRPr="006C520E">
        <w:rPr>
          <w:rFonts w:cs="Times New Roman"/>
          <w:szCs w:val="24"/>
          <w:highlight w:val="yellow"/>
        </w:rPr>
        <w:t>economy can exacerbate these challenges by amplifying the negative impacts associated with resource dependence. In resource-rich economies, substantial oil revenues may reduce incentives for governments to diversify the economy or develop strong institutions, leading to weaker regulatory frameworks (</w:t>
      </w:r>
      <w:proofErr w:type="spellStart"/>
      <w:r w:rsidRPr="006C520E">
        <w:rPr>
          <w:rFonts w:cs="Times New Roman"/>
          <w:szCs w:val="24"/>
          <w:highlight w:val="yellow"/>
        </w:rPr>
        <w:t>Brunnschweiler</w:t>
      </w:r>
      <w:proofErr w:type="spellEnd"/>
      <w:r w:rsidRPr="006C520E">
        <w:rPr>
          <w:rFonts w:cs="Times New Roman"/>
          <w:szCs w:val="24"/>
          <w:highlight w:val="yellow"/>
        </w:rPr>
        <w:t xml:space="preserve">, 2008; </w:t>
      </w:r>
      <w:proofErr w:type="spellStart"/>
      <w:r w:rsidRPr="006C520E">
        <w:rPr>
          <w:rFonts w:cs="Times New Roman"/>
          <w:szCs w:val="24"/>
          <w:highlight w:val="yellow"/>
        </w:rPr>
        <w:t>Leite</w:t>
      </w:r>
      <w:proofErr w:type="spellEnd"/>
      <w:r w:rsidRPr="006C520E">
        <w:rPr>
          <w:rFonts w:cs="Times New Roman"/>
          <w:szCs w:val="24"/>
          <w:highlight w:val="yellow"/>
        </w:rPr>
        <w:t xml:space="preserve"> &amp; </w:t>
      </w:r>
      <w:proofErr w:type="spellStart"/>
      <w:r w:rsidRPr="006C520E">
        <w:rPr>
          <w:rFonts w:cs="Times New Roman"/>
          <w:szCs w:val="24"/>
          <w:highlight w:val="yellow"/>
        </w:rPr>
        <w:t>Weidmann</w:t>
      </w:r>
      <w:proofErr w:type="spellEnd"/>
      <w:r w:rsidRPr="006C520E">
        <w:rPr>
          <w:rFonts w:cs="Times New Roman"/>
          <w:szCs w:val="24"/>
          <w:highlight w:val="yellow"/>
        </w:rPr>
        <w:t xml:space="preserve">, 1999; </w:t>
      </w:r>
      <w:proofErr w:type="spellStart"/>
      <w:r w:rsidRPr="006C520E">
        <w:rPr>
          <w:rFonts w:cs="Times New Roman"/>
          <w:szCs w:val="24"/>
          <w:highlight w:val="yellow"/>
        </w:rPr>
        <w:t>Mehlum</w:t>
      </w:r>
      <w:proofErr w:type="spellEnd"/>
      <w:r w:rsidRPr="006C520E">
        <w:rPr>
          <w:rFonts w:cs="Times New Roman"/>
          <w:szCs w:val="24"/>
          <w:highlight w:val="yellow"/>
        </w:rPr>
        <w:t xml:space="preserve"> et al., 2006). This can allow the </w:t>
      </w:r>
      <w:r w:rsidR="005F0B79" w:rsidRPr="006C520E">
        <w:rPr>
          <w:rFonts w:cs="Times New Roman"/>
          <w:szCs w:val="24"/>
          <w:highlight w:val="yellow"/>
        </w:rPr>
        <w:t xml:space="preserve">underground </w:t>
      </w:r>
      <w:r w:rsidRPr="006C520E">
        <w:rPr>
          <w:rFonts w:cs="Times New Roman"/>
          <w:szCs w:val="24"/>
          <w:highlight w:val="yellow"/>
        </w:rPr>
        <w:t>economy to thrive, as businesses and individuals may seek to avoid taxes and regulations that are perceived as burdensome or corrupt (Dada et al., 2024).</w:t>
      </w:r>
    </w:p>
    <w:p w14:paraId="345C3067" w14:textId="74A5C63F" w:rsidR="008D43BA" w:rsidRPr="006C520E" w:rsidRDefault="008D43BA" w:rsidP="008D43BA">
      <w:pPr>
        <w:rPr>
          <w:rFonts w:cs="Times New Roman"/>
          <w:szCs w:val="24"/>
        </w:rPr>
      </w:pPr>
      <w:r w:rsidRPr="006C520E">
        <w:rPr>
          <w:rFonts w:cs="Times New Roman"/>
          <w:szCs w:val="24"/>
          <w:highlight w:val="yellow"/>
        </w:rPr>
        <w:t xml:space="preserve">The presence of a large </w:t>
      </w:r>
      <w:r w:rsidR="005F0B79" w:rsidRPr="006C520E">
        <w:rPr>
          <w:rFonts w:cs="Times New Roman"/>
          <w:szCs w:val="24"/>
          <w:highlight w:val="yellow"/>
        </w:rPr>
        <w:t xml:space="preserve">underground </w:t>
      </w:r>
      <w:r w:rsidRPr="006C520E">
        <w:rPr>
          <w:rFonts w:cs="Times New Roman"/>
          <w:szCs w:val="24"/>
          <w:highlight w:val="yellow"/>
        </w:rPr>
        <w:t xml:space="preserve">economy can further undermine the positive impact of oil wealth on economic growth by reducing public revenues, which are crucial for investments in infrastructure, education, and healthcare. Additionally, the </w:t>
      </w:r>
      <w:r w:rsidR="005F0B79" w:rsidRPr="006C520E">
        <w:rPr>
          <w:rFonts w:cs="Times New Roman"/>
          <w:szCs w:val="24"/>
          <w:highlight w:val="yellow"/>
        </w:rPr>
        <w:t xml:space="preserve">underground </w:t>
      </w:r>
      <w:r w:rsidRPr="006C520E">
        <w:rPr>
          <w:rFonts w:cs="Times New Roman"/>
          <w:szCs w:val="24"/>
          <w:highlight w:val="yellow"/>
        </w:rPr>
        <w:t xml:space="preserve">economy may encourage rent-seeking </w:t>
      </w:r>
      <w:proofErr w:type="spellStart"/>
      <w:r w:rsidRPr="006C520E">
        <w:rPr>
          <w:rFonts w:cs="Times New Roman"/>
          <w:szCs w:val="24"/>
          <w:highlight w:val="yellow"/>
        </w:rPr>
        <w:t>behavior</w:t>
      </w:r>
      <w:proofErr w:type="spellEnd"/>
      <w:r w:rsidRPr="006C520E">
        <w:rPr>
          <w:rFonts w:cs="Times New Roman"/>
          <w:szCs w:val="24"/>
          <w:highlight w:val="yellow"/>
        </w:rPr>
        <w:t xml:space="preserve">, corruption, and inefficiencies in resource allocation, all of which contribute to the </w:t>
      </w:r>
      <w:r w:rsidR="005F0B79" w:rsidRPr="006C520E">
        <w:rPr>
          <w:rFonts w:cs="Times New Roman"/>
          <w:szCs w:val="24"/>
          <w:highlight w:val="yellow"/>
        </w:rPr>
        <w:t>“</w:t>
      </w:r>
      <w:r w:rsidRPr="006C520E">
        <w:rPr>
          <w:rFonts w:cs="Times New Roman"/>
          <w:szCs w:val="24"/>
          <w:highlight w:val="yellow"/>
        </w:rPr>
        <w:t>resource curse</w:t>
      </w:r>
      <w:r w:rsidR="005F0B79" w:rsidRPr="006C520E">
        <w:rPr>
          <w:rFonts w:cs="Times New Roman"/>
          <w:szCs w:val="24"/>
          <w:highlight w:val="yellow"/>
        </w:rPr>
        <w:t>”</w:t>
      </w:r>
      <w:r w:rsidRPr="006C520E">
        <w:rPr>
          <w:rFonts w:cs="Times New Roman"/>
          <w:szCs w:val="24"/>
          <w:highlight w:val="yellow"/>
        </w:rPr>
        <w:t xml:space="preserve"> by distorting economic incentives and reducing the effectiveness of public policies (</w:t>
      </w:r>
      <w:proofErr w:type="spellStart"/>
      <w:r w:rsidRPr="006C520E">
        <w:rPr>
          <w:rFonts w:cs="Times New Roman"/>
          <w:szCs w:val="24"/>
          <w:highlight w:val="yellow"/>
        </w:rPr>
        <w:t>Eregha</w:t>
      </w:r>
      <w:proofErr w:type="spellEnd"/>
      <w:r w:rsidRPr="006C520E">
        <w:rPr>
          <w:rFonts w:cs="Times New Roman"/>
          <w:szCs w:val="24"/>
          <w:highlight w:val="yellow"/>
        </w:rPr>
        <w:t xml:space="preserve"> &amp; </w:t>
      </w:r>
      <w:proofErr w:type="spellStart"/>
      <w:r w:rsidRPr="006C520E">
        <w:rPr>
          <w:rFonts w:cs="Times New Roman"/>
          <w:szCs w:val="24"/>
          <w:highlight w:val="yellow"/>
        </w:rPr>
        <w:t>Mesagan</w:t>
      </w:r>
      <w:proofErr w:type="spellEnd"/>
      <w:r w:rsidRPr="006C520E">
        <w:rPr>
          <w:rFonts w:cs="Times New Roman"/>
          <w:szCs w:val="24"/>
          <w:highlight w:val="yellow"/>
        </w:rPr>
        <w:t xml:space="preserve">, 2020; Dada et al., 2024; David, 2024; David et al., 2024). This </w:t>
      </w:r>
      <w:r w:rsidR="005F0B79" w:rsidRPr="006C520E">
        <w:rPr>
          <w:rFonts w:cs="Times New Roman"/>
          <w:szCs w:val="24"/>
          <w:highlight w:val="yellow"/>
        </w:rPr>
        <w:t xml:space="preserve">position </w:t>
      </w:r>
      <w:r w:rsidRPr="006C520E">
        <w:rPr>
          <w:rFonts w:cs="Times New Roman"/>
          <w:szCs w:val="24"/>
          <w:highlight w:val="yellow"/>
        </w:rPr>
        <w:t>is supported by the Ishak-</w:t>
      </w:r>
      <w:proofErr w:type="spellStart"/>
      <w:r w:rsidRPr="006C520E">
        <w:rPr>
          <w:rFonts w:cs="Times New Roman"/>
          <w:szCs w:val="24"/>
          <w:highlight w:val="yellow"/>
        </w:rPr>
        <w:t>Farzanegan</w:t>
      </w:r>
      <w:proofErr w:type="spellEnd"/>
      <w:r w:rsidRPr="006C520E">
        <w:rPr>
          <w:rFonts w:cs="Times New Roman"/>
          <w:szCs w:val="24"/>
          <w:highlight w:val="yellow"/>
        </w:rPr>
        <w:t xml:space="preserve"> model, which demonstrates that underground economic activities impede government taxation efforts in oil-dependent economies during economic downturns induced by negative oil price shocks, thereby limiting the government’s ability to finance essential public goods through taxation. In this context, the underground economy acts as an intermediary that intensifies the resource curse, turning oil wealth into a source of economic instability and long-term growth constraints, rather than a driver of development. Thus, the relationship between oil wealth, the underground economy, and economic growth can be conceptualized as a cyclical interaction, where the expansion of the underground economy due to weak institutions and oil dependence exacerbates the negative outcomes predicted by the RCH.</w:t>
      </w:r>
    </w:p>
    <w:p w14:paraId="49563622" w14:textId="043FD614" w:rsidR="00D46ED2" w:rsidRPr="006C520E" w:rsidRDefault="004206D4" w:rsidP="00D46ED2">
      <w:pPr>
        <w:pStyle w:val="Heading2"/>
        <w:rPr>
          <w:rFonts w:ascii="Garamond" w:hAnsi="Garamond"/>
          <w:bCs/>
          <w:i/>
          <w:iCs/>
          <w:color w:val="auto"/>
          <w:sz w:val="24"/>
          <w:szCs w:val="24"/>
        </w:rPr>
      </w:pPr>
      <w:r w:rsidRPr="006C520E">
        <w:rPr>
          <w:rFonts w:ascii="Garamond" w:hAnsi="Garamond"/>
          <w:bCs/>
          <w:i/>
          <w:iCs/>
          <w:color w:val="auto"/>
          <w:sz w:val="24"/>
          <w:szCs w:val="24"/>
        </w:rPr>
        <w:t>3</w:t>
      </w:r>
      <w:r w:rsidR="00D46ED2" w:rsidRPr="006C520E">
        <w:rPr>
          <w:rFonts w:ascii="Garamond" w:hAnsi="Garamond"/>
          <w:bCs/>
          <w:i/>
          <w:iCs/>
          <w:color w:val="auto"/>
          <w:sz w:val="24"/>
          <w:szCs w:val="24"/>
        </w:rPr>
        <w:t>.</w:t>
      </w:r>
      <w:r w:rsidR="00C860C5" w:rsidRPr="006C520E">
        <w:rPr>
          <w:rFonts w:ascii="Garamond" w:hAnsi="Garamond"/>
          <w:bCs/>
          <w:i/>
          <w:iCs/>
          <w:color w:val="auto"/>
          <w:sz w:val="24"/>
          <w:szCs w:val="24"/>
        </w:rPr>
        <w:t>2</w:t>
      </w:r>
      <w:r w:rsidR="00D46ED2" w:rsidRPr="006C520E">
        <w:rPr>
          <w:rFonts w:ascii="Garamond" w:hAnsi="Garamond"/>
          <w:bCs/>
          <w:i/>
          <w:iCs/>
          <w:color w:val="auto"/>
          <w:sz w:val="24"/>
          <w:szCs w:val="24"/>
        </w:rPr>
        <w:t xml:space="preserve"> Model specification</w:t>
      </w:r>
    </w:p>
    <w:p w14:paraId="54B66DE9" w14:textId="1450A547" w:rsidR="00D42F3D" w:rsidRPr="00D42F3D" w:rsidRDefault="00EF32DB" w:rsidP="00601308">
      <w:r w:rsidRPr="006C520E">
        <w:rPr>
          <w:rFonts w:cs="Times New Roman"/>
          <w:szCs w:val="24"/>
        </w:rPr>
        <w:t xml:space="preserve">Following </w:t>
      </w:r>
      <w:r w:rsidR="000A3285" w:rsidRPr="006C520E">
        <w:rPr>
          <w:rFonts w:cs="Times New Roman"/>
          <w:szCs w:val="24"/>
        </w:rPr>
        <w:t xml:space="preserve">some </w:t>
      </w:r>
      <w:r w:rsidRPr="006C520E">
        <w:rPr>
          <w:rFonts w:cs="Times New Roman"/>
          <w:szCs w:val="24"/>
        </w:rPr>
        <w:t>studies (</w:t>
      </w:r>
      <w:r w:rsidR="00051CF4" w:rsidRPr="006C520E">
        <w:rPr>
          <w:rFonts w:cs="Times New Roman"/>
          <w:szCs w:val="24"/>
        </w:rPr>
        <w:t xml:space="preserve">Abu </w:t>
      </w:r>
      <w:r w:rsidR="00051CF4" w:rsidRPr="006C520E">
        <w:rPr>
          <w:rFonts w:cs="Times New Roman"/>
          <w:i/>
          <w:iCs/>
          <w:szCs w:val="24"/>
        </w:rPr>
        <w:t>et al</w:t>
      </w:r>
      <w:r w:rsidR="00051CF4" w:rsidRPr="006C520E">
        <w:rPr>
          <w:rFonts w:cs="Times New Roman"/>
          <w:szCs w:val="24"/>
        </w:rPr>
        <w:t>., 2022</w:t>
      </w:r>
      <w:r w:rsidR="000B615A" w:rsidRPr="006C520E">
        <w:rPr>
          <w:rFonts w:cs="Times New Roman"/>
          <w:szCs w:val="24"/>
        </w:rPr>
        <w:t>b</w:t>
      </w:r>
      <w:r w:rsidR="00051CF4" w:rsidRPr="006C520E">
        <w:rPr>
          <w:rFonts w:cs="Times New Roman"/>
          <w:szCs w:val="24"/>
        </w:rPr>
        <w:t xml:space="preserve">; </w:t>
      </w:r>
      <w:r w:rsidR="00B50294" w:rsidRPr="006C520E">
        <w:rPr>
          <w:rFonts w:cs="Times New Roman"/>
          <w:szCs w:val="24"/>
        </w:rPr>
        <w:t xml:space="preserve">David, 2024; </w:t>
      </w:r>
      <w:r w:rsidRPr="006C520E">
        <w:rPr>
          <w:rFonts w:cs="Times New Roman"/>
          <w:szCs w:val="24"/>
        </w:rPr>
        <w:t xml:space="preserve">David </w:t>
      </w:r>
      <w:r w:rsidRPr="006C520E">
        <w:rPr>
          <w:rFonts w:cs="Times New Roman"/>
          <w:i/>
          <w:iCs/>
          <w:szCs w:val="24"/>
        </w:rPr>
        <w:t>et al</w:t>
      </w:r>
      <w:r w:rsidRPr="006C520E">
        <w:rPr>
          <w:rFonts w:cs="Times New Roman"/>
          <w:szCs w:val="24"/>
        </w:rPr>
        <w:t xml:space="preserve">., </w:t>
      </w:r>
      <w:r w:rsidR="00051CF4" w:rsidRPr="006C520E">
        <w:rPr>
          <w:rFonts w:cs="Times New Roman"/>
          <w:szCs w:val="24"/>
        </w:rPr>
        <w:t>202</w:t>
      </w:r>
      <w:r w:rsidR="00D63CE2">
        <w:rPr>
          <w:rFonts w:cs="Times New Roman"/>
          <w:szCs w:val="24"/>
        </w:rPr>
        <w:t>5</w:t>
      </w:r>
      <w:r w:rsidRPr="006C520E">
        <w:rPr>
          <w:rFonts w:cs="Times New Roman"/>
          <w:szCs w:val="24"/>
        </w:rPr>
        <w:t>)</w:t>
      </w:r>
      <w:r w:rsidR="000A3285" w:rsidRPr="006C520E">
        <w:rPr>
          <w:rFonts w:cs="Times New Roman"/>
          <w:szCs w:val="24"/>
        </w:rPr>
        <w:t xml:space="preserve">, </w:t>
      </w:r>
      <w:r w:rsidR="00D42F3D">
        <w:t>an econometric model is specified to demonstrate how the oil wealth-growth relationship depends on the size of the underground economy,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27"/>
        <w:gridCol w:w="469"/>
      </w:tblGrid>
      <w:tr w:rsidR="00601308" w:rsidRPr="006C520E" w14:paraId="310019E6" w14:textId="77777777" w:rsidTr="00601308">
        <w:tc>
          <w:tcPr>
            <w:tcW w:w="264" w:type="dxa"/>
          </w:tcPr>
          <w:p w14:paraId="371FBD13" w14:textId="77777777" w:rsidR="00601308" w:rsidRPr="006C520E" w:rsidRDefault="00601308" w:rsidP="005F2548">
            <w:pPr>
              <w:spacing w:before="120" w:after="120"/>
              <w:rPr>
                <w:szCs w:val="24"/>
                <w:lang w:bidi="en-US"/>
              </w:rPr>
            </w:pPr>
          </w:p>
        </w:tc>
        <w:tc>
          <w:tcPr>
            <w:tcW w:w="8627" w:type="dxa"/>
            <w:hideMark/>
          </w:tcPr>
          <w:p w14:paraId="57A559CB" w14:textId="0CF0EE65" w:rsidR="00601308" w:rsidRPr="006C520E" w:rsidRDefault="00000000" w:rsidP="005F2548">
            <w:pPr>
              <w:spacing w:before="120" w:after="120"/>
              <w:rPr>
                <w:szCs w:val="24"/>
                <w:lang w:bidi="en-US"/>
              </w:rPr>
            </w:pPr>
            <m:oMathPara>
              <m:oMath>
                <m:sSub>
                  <m:sSubPr>
                    <m:ctrlPr>
                      <w:rPr>
                        <w:rFonts w:ascii="Cambria Math" w:hAnsi="Cambria Math"/>
                        <w:i/>
                        <w:szCs w:val="24"/>
                        <w:lang w:bidi="en-US"/>
                      </w:rPr>
                    </m:ctrlPr>
                  </m:sSubPr>
                  <m:e>
                    <m:r>
                      <w:rPr>
                        <w:rFonts w:ascii="Cambria Math" w:hAnsi="Cambria Math"/>
                        <w:szCs w:val="24"/>
                        <w:lang w:bidi="en-US"/>
                      </w:rPr>
                      <m:t>y</m:t>
                    </m:r>
                  </m:e>
                  <m:sub>
                    <m:r>
                      <w:rPr>
                        <w:rFonts w:ascii="Cambria Math" w:hAnsi="Cambria Math"/>
                        <w:szCs w:val="24"/>
                        <w:lang w:bidi="en-US"/>
                      </w:rPr>
                      <m:t>t</m:t>
                    </m:r>
                  </m:sub>
                </m:sSub>
                <m:r>
                  <w:rPr>
                    <w:rFonts w:ascii="Cambria Math" w:hAnsi="Cambria Math"/>
                    <w:szCs w:val="24"/>
                    <w:lang w:bidi="en-US"/>
                  </w:rPr>
                  <m:t>=α+</m:t>
                </m:r>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1</m:t>
                    </m:r>
                  </m:sub>
                </m:sSub>
                <m:sSub>
                  <m:sSubPr>
                    <m:ctrlPr>
                      <w:rPr>
                        <w:rFonts w:ascii="Cambria Math" w:hAnsi="Cambria Math"/>
                        <w:i/>
                        <w:szCs w:val="24"/>
                        <w:lang w:bidi="en-US"/>
                      </w:rPr>
                    </m:ctrlPr>
                  </m:sSubPr>
                  <m:e>
                    <m:r>
                      <w:rPr>
                        <w:rFonts w:ascii="Cambria Math" w:hAnsi="Cambria Math"/>
                        <w:szCs w:val="24"/>
                        <w:lang w:bidi="en-US"/>
                      </w:rPr>
                      <m:t>oil</m:t>
                    </m:r>
                  </m:e>
                  <m:sub>
                    <m:r>
                      <w:rPr>
                        <w:rFonts w:ascii="Cambria Math" w:hAnsi="Cambria Math"/>
                        <w:szCs w:val="24"/>
                        <w:lang w:bidi="en-US"/>
                      </w:rPr>
                      <m:t>t</m:t>
                    </m:r>
                  </m:sub>
                </m:sSub>
                <m:r>
                  <w:rPr>
                    <w:rFonts w:ascii="Cambria Math" w:hAnsi="Cambria Math"/>
                    <w:szCs w:val="24"/>
                    <w:lang w:bidi="en-US"/>
                  </w:rPr>
                  <m:t>+</m:t>
                </m:r>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2</m:t>
                    </m:r>
                  </m:sub>
                </m:sSub>
                <m:sSub>
                  <m:sSubPr>
                    <m:ctrlPr>
                      <w:rPr>
                        <w:rFonts w:ascii="Cambria Math" w:hAnsi="Cambria Math"/>
                        <w:i/>
                        <w:szCs w:val="24"/>
                        <w:lang w:bidi="en-US"/>
                      </w:rPr>
                    </m:ctrlPr>
                  </m:sSubPr>
                  <m:e>
                    <m:r>
                      <w:rPr>
                        <w:rFonts w:ascii="Cambria Math" w:hAnsi="Cambria Math"/>
                        <w:szCs w:val="24"/>
                        <w:lang w:bidi="en-US"/>
                      </w:rPr>
                      <m:t>ue</m:t>
                    </m:r>
                  </m:e>
                  <m:sub>
                    <m:r>
                      <w:rPr>
                        <w:rFonts w:ascii="Cambria Math" w:hAnsi="Cambria Math"/>
                        <w:szCs w:val="24"/>
                        <w:lang w:bidi="en-US"/>
                      </w:rPr>
                      <m:t>t</m:t>
                    </m:r>
                  </m:sub>
                </m:sSub>
                <m:r>
                  <w:rPr>
                    <w:rFonts w:ascii="Cambria Math" w:hAnsi="Cambria Math"/>
                    <w:szCs w:val="24"/>
                    <w:lang w:bidi="en-US"/>
                  </w:rPr>
                  <m:t>+</m:t>
                </m:r>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3</m:t>
                    </m:r>
                  </m:sub>
                </m:sSub>
                <m:r>
                  <w:rPr>
                    <w:rFonts w:ascii="Cambria Math" w:hAnsi="Cambria Math"/>
                    <w:szCs w:val="24"/>
                    <w:highlight w:val="yellow"/>
                    <w:lang w:bidi="en-US"/>
                  </w:rPr>
                  <m:t>(</m:t>
                </m:r>
                <m:sSub>
                  <m:sSubPr>
                    <m:ctrlPr>
                      <w:rPr>
                        <w:rFonts w:ascii="Cambria Math" w:hAnsi="Cambria Math"/>
                        <w:i/>
                        <w:szCs w:val="24"/>
                        <w:highlight w:val="yellow"/>
                        <w:lang w:bidi="en-US"/>
                      </w:rPr>
                    </m:ctrlPr>
                  </m:sSubPr>
                  <m:e>
                    <m:r>
                      <w:rPr>
                        <w:rFonts w:ascii="Cambria Math" w:hAnsi="Cambria Math"/>
                        <w:szCs w:val="24"/>
                        <w:highlight w:val="yellow"/>
                        <w:lang w:bidi="en-US"/>
                      </w:rPr>
                      <m:t>oil</m:t>
                    </m:r>
                  </m:e>
                  <m:sub>
                    <m:r>
                      <w:rPr>
                        <w:rFonts w:ascii="Cambria Math" w:hAnsi="Cambria Math"/>
                        <w:szCs w:val="24"/>
                        <w:highlight w:val="yellow"/>
                        <w:lang w:bidi="en-US"/>
                      </w:rPr>
                      <m:t>t</m:t>
                    </m:r>
                  </m:sub>
                </m:sSub>
                <m:r>
                  <w:rPr>
                    <w:rFonts w:ascii="Cambria Math" w:eastAsiaTheme="minorEastAsia" w:hAnsi="Cambria Math"/>
                    <w:szCs w:val="24"/>
                    <w:highlight w:val="yellow"/>
                  </w:rPr>
                  <m:t>×</m:t>
                </m:r>
                <m:sSub>
                  <m:sSubPr>
                    <m:ctrlPr>
                      <w:rPr>
                        <w:rFonts w:ascii="Cambria Math" w:hAnsi="Cambria Math"/>
                        <w:i/>
                        <w:szCs w:val="24"/>
                        <w:highlight w:val="yellow"/>
                        <w:lang w:bidi="en-US"/>
                      </w:rPr>
                    </m:ctrlPr>
                  </m:sSubPr>
                  <m:e>
                    <m:r>
                      <w:rPr>
                        <w:rFonts w:ascii="Cambria Math" w:hAnsi="Cambria Math"/>
                        <w:szCs w:val="24"/>
                        <w:highlight w:val="yellow"/>
                        <w:lang w:bidi="en-US"/>
                      </w:rPr>
                      <m:t>ue</m:t>
                    </m:r>
                  </m:e>
                  <m:sub>
                    <m:r>
                      <w:rPr>
                        <w:rFonts w:ascii="Cambria Math" w:hAnsi="Cambria Math"/>
                        <w:szCs w:val="24"/>
                        <w:highlight w:val="yellow"/>
                        <w:lang w:bidi="en-US"/>
                      </w:rPr>
                      <m:t>t</m:t>
                    </m:r>
                  </m:sub>
                </m:sSub>
                <m:r>
                  <w:rPr>
                    <w:rFonts w:ascii="Cambria Math" w:hAnsi="Cambria Math"/>
                    <w:szCs w:val="24"/>
                    <w:highlight w:val="yellow"/>
                    <w:lang w:bidi="en-US"/>
                  </w:rPr>
                  <m:t>)</m:t>
                </m:r>
                <m:r>
                  <w:rPr>
                    <w:rFonts w:ascii="Cambria Math" w:hAnsi="Cambria Math"/>
                    <w:szCs w:val="24"/>
                    <w:lang w:bidi="en-US"/>
                  </w:rPr>
                  <m:t>+</m:t>
                </m:r>
                <m:sSup>
                  <m:sSupPr>
                    <m:ctrlPr>
                      <w:rPr>
                        <w:rFonts w:ascii="Cambria Math" w:hAnsi="Cambria Math"/>
                        <w:i/>
                        <w:szCs w:val="24"/>
                        <w:lang w:bidi="en-US"/>
                      </w:rPr>
                    </m:ctrlPr>
                  </m:sSupPr>
                  <m:e>
                    <m:r>
                      <w:rPr>
                        <w:rFonts w:ascii="Cambria Math" w:hAnsi="Cambria Math"/>
                        <w:szCs w:val="24"/>
                        <w:lang w:bidi="en-US"/>
                      </w:rPr>
                      <m:t>ϑ</m:t>
                    </m:r>
                  </m:e>
                  <m:sup>
                    <m:r>
                      <w:rPr>
                        <w:rFonts w:ascii="Cambria Math" w:hAnsi="Cambria Math"/>
                        <w:szCs w:val="24"/>
                        <w:lang w:bidi="en-US"/>
                      </w:rPr>
                      <m:t>'</m:t>
                    </m:r>
                  </m:sup>
                </m:sSup>
                <m:sSub>
                  <m:sSubPr>
                    <m:ctrlPr>
                      <w:rPr>
                        <w:rFonts w:ascii="Cambria Math" w:hAnsi="Cambria Math"/>
                        <w:i/>
                        <w:szCs w:val="24"/>
                        <w:lang w:bidi="en-US"/>
                      </w:rPr>
                    </m:ctrlPr>
                  </m:sSubPr>
                  <m:e>
                    <m:r>
                      <w:rPr>
                        <w:rFonts w:ascii="Cambria Math" w:hAnsi="Cambria Math"/>
                        <w:szCs w:val="24"/>
                        <w:lang w:bidi="en-US"/>
                      </w:rPr>
                      <m:t>Z</m:t>
                    </m:r>
                  </m:e>
                  <m:sub>
                    <m:r>
                      <w:rPr>
                        <w:rFonts w:ascii="Cambria Math" w:hAnsi="Cambria Math"/>
                        <w:szCs w:val="24"/>
                        <w:lang w:bidi="en-US"/>
                      </w:rPr>
                      <m:t>t</m:t>
                    </m:r>
                  </m:sub>
                </m:sSub>
                <m:r>
                  <w:rPr>
                    <w:rFonts w:ascii="Cambria Math" w:hAnsi="Cambria Math"/>
                    <w:szCs w:val="24"/>
                    <w:lang w:bidi="en-US"/>
                  </w:rPr>
                  <m:t>+</m:t>
                </m:r>
                <m:sSub>
                  <m:sSubPr>
                    <m:ctrlPr>
                      <w:rPr>
                        <w:rFonts w:ascii="Cambria Math" w:hAnsi="Cambria Math"/>
                        <w:i/>
                        <w:szCs w:val="24"/>
                        <w:lang w:bidi="en-US"/>
                      </w:rPr>
                    </m:ctrlPr>
                  </m:sSubPr>
                  <m:e>
                    <m:r>
                      <w:rPr>
                        <w:rFonts w:ascii="Cambria Math" w:hAnsi="Cambria Math"/>
                        <w:szCs w:val="24"/>
                        <w:lang w:bidi="en-US"/>
                      </w:rPr>
                      <m:t>μ</m:t>
                    </m:r>
                  </m:e>
                  <m:sub>
                    <m:r>
                      <w:rPr>
                        <w:rFonts w:ascii="Cambria Math" w:hAnsi="Cambria Math"/>
                        <w:szCs w:val="24"/>
                        <w:lang w:bidi="en-US"/>
                      </w:rPr>
                      <m:t>t</m:t>
                    </m:r>
                  </m:sub>
                </m:sSub>
              </m:oMath>
            </m:oMathPara>
          </w:p>
        </w:tc>
        <w:tc>
          <w:tcPr>
            <w:tcW w:w="469" w:type="dxa"/>
            <w:hideMark/>
          </w:tcPr>
          <w:p w14:paraId="7D729D0E" w14:textId="7802B666" w:rsidR="00601308" w:rsidRPr="006C520E" w:rsidRDefault="00601308" w:rsidP="005F2548">
            <w:pPr>
              <w:spacing w:before="120" w:after="120"/>
              <w:jc w:val="right"/>
              <w:rPr>
                <w:szCs w:val="24"/>
                <w:lang w:bidi="en-US"/>
              </w:rPr>
            </w:pPr>
            <w:r w:rsidRPr="006C520E">
              <w:rPr>
                <w:szCs w:val="24"/>
                <w:lang w:bidi="en-US"/>
              </w:rPr>
              <w:t>(</w:t>
            </w:r>
            <w:r w:rsidR="000A3285" w:rsidRPr="006C520E">
              <w:rPr>
                <w:szCs w:val="24"/>
                <w:lang w:bidi="en-US"/>
              </w:rPr>
              <w:t>1</w:t>
            </w:r>
            <w:r w:rsidRPr="006C520E">
              <w:rPr>
                <w:szCs w:val="24"/>
                <w:lang w:bidi="en-US"/>
              </w:rPr>
              <w:t>)</w:t>
            </w:r>
          </w:p>
        </w:tc>
      </w:tr>
    </w:tbl>
    <w:p w14:paraId="22667125" w14:textId="4C0EB1E7" w:rsidR="00601308" w:rsidRPr="006C520E" w:rsidRDefault="00601308" w:rsidP="00BD32A1">
      <w:pPr>
        <w:spacing w:before="120"/>
        <w:rPr>
          <w:szCs w:val="24"/>
          <w:lang w:bidi="en-US"/>
        </w:rPr>
      </w:pPr>
      <w:r w:rsidRPr="006C520E">
        <w:rPr>
          <w:szCs w:val="24"/>
          <w:lang w:bidi="en-US"/>
        </w:rPr>
        <w:lastRenderedPageBreak/>
        <w:t xml:space="preserve">where </w:t>
      </w:r>
      <m:oMath>
        <m:sSub>
          <m:sSubPr>
            <m:ctrlPr>
              <w:rPr>
                <w:rFonts w:ascii="Cambria Math" w:hAnsi="Cambria Math"/>
                <w:i/>
                <w:szCs w:val="24"/>
                <w:lang w:bidi="en-US"/>
              </w:rPr>
            </m:ctrlPr>
          </m:sSubPr>
          <m:e>
            <m:r>
              <w:rPr>
                <w:rFonts w:ascii="Cambria Math" w:hAnsi="Cambria Math"/>
                <w:szCs w:val="24"/>
                <w:lang w:bidi="en-US"/>
              </w:rPr>
              <m:t>y</m:t>
            </m:r>
          </m:e>
          <m:sub>
            <m:r>
              <w:rPr>
                <w:rFonts w:ascii="Cambria Math" w:hAnsi="Cambria Math"/>
                <w:szCs w:val="24"/>
                <w:lang w:bidi="en-US"/>
              </w:rPr>
              <m:t>t</m:t>
            </m:r>
          </m:sub>
        </m:sSub>
      </m:oMath>
      <w:r w:rsidRPr="006C520E">
        <w:rPr>
          <w:rFonts w:eastAsiaTheme="minorEastAsia"/>
          <w:szCs w:val="24"/>
          <w:lang w:bidi="en-US"/>
        </w:rPr>
        <w:t xml:space="preserve"> </w:t>
      </w:r>
      <w:r w:rsidRPr="006C520E">
        <w:rPr>
          <w:rFonts w:eastAsiaTheme="minorEastAsia"/>
          <w:szCs w:val="24"/>
        </w:rPr>
        <w:t xml:space="preserve">is </w:t>
      </w:r>
      <w:r w:rsidR="000A3285" w:rsidRPr="006C520E">
        <w:rPr>
          <w:rFonts w:eastAsiaTheme="minorEastAsia"/>
          <w:szCs w:val="24"/>
        </w:rPr>
        <w:t>economic growth (proxy by real GDP)</w:t>
      </w:r>
      <w:r w:rsidRPr="006C520E">
        <w:rPr>
          <w:rFonts w:eastAsiaTheme="minorEastAsia"/>
          <w:szCs w:val="24"/>
        </w:rPr>
        <w:t xml:space="preserve">, </w:t>
      </w:r>
      <m:oMath>
        <m:sSub>
          <m:sSubPr>
            <m:ctrlPr>
              <w:rPr>
                <w:rFonts w:ascii="Cambria Math" w:hAnsi="Cambria Math"/>
                <w:i/>
                <w:szCs w:val="24"/>
                <w:lang w:bidi="en-US"/>
              </w:rPr>
            </m:ctrlPr>
          </m:sSubPr>
          <m:e>
            <m:r>
              <w:rPr>
                <w:rFonts w:ascii="Cambria Math" w:hAnsi="Cambria Math"/>
                <w:szCs w:val="24"/>
                <w:lang w:bidi="en-US"/>
              </w:rPr>
              <m:t>oil</m:t>
            </m:r>
          </m:e>
          <m:sub>
            <m:r>
              <w:rPr>
                <w:rFonts w:ascii="Cambria Math" w:hAnsi="Cambria Math"/>
                <w:szCs w:val="24"/>
                <w:lang w:bidi="en-US"/>
              </w:rPr>
              <m:t>t</m:t>
            </m:r>
          </m:sub>
        </m:sSub>
      </m:oMath>
      <w:r w:rsidRPr="006C520E">
        <w:rPr>
          <w:rFonts w:eastAsiaTheme="minorEastAsia"/>
          <w:szCs w:val="24"/>
        </w:rPr>
        <w:t xml:space="preserve"> represent oil </w:t>
      </w:r>
      <w:r w:rsidR="00444CB1" w:rsidRPr="006C520E">
        <w:rPr>
          <w:rFonts w:eastAsiaTheme="minorEastAsia"/>
          <w:szCs w:val="24"/>
        </w:rPr>
        <w:t>wealth (measured by the ratio of oil revenue to GDP)</w:t>
      </w:r>
      <w:r w:rsidRPr="006C520E">
        <w:rPr>
          <w:rFonts w:eastAsiaTheme="minorEastAsia"/>
          <w:szCs w:val="24"/>
        </w:rPr>
        <w:t xml:space="preserve">, </w:t>
      </w:r>
      <m:oMath>
        <m:sSub>
          <m:sSubPr>
            <m:ctrlPr>
              <w:rPr>
                <w:rFonts w:ascii="Cambria Math" w:hAnsi="Cambria Math"/>
                <w:i/>
                <w:szCs w:val="24"/>
                <w:lang w:bidi="en-US"/>
              </w:rPr>
            </m:ctrlPr>
          </m:sSubPr>
          <m:e>
            <m:r>
              <w:rPr>
                <w:rFonts w:ascii="Cambria Math" w:hAnsi="Cambria Math"/>
                <w:szCs w:val="24"/>
                <w:lang w:bidi="en-US"/>
              </w:rPr>
              <m:t>ue</m:t>
            </m:r>
          </m:e>
          <m:sub>
            <m:r>
              <w:rPr>
                <w:rFonts w:ascii="Cambria Math" w:hAnsi="Cambria Math"/>
                <w:szCs w:val="24"/>
                <w:lang w:bidi="en-US"/>
              </w:rPr>
              <m:t>t</m:t>
            </m:r>
          </m:sub>
        </m:sSub>
      </m:oMath>
      <w:r w:rsidRPr="006C520E">
        <w:rPr>
          <w:rFonts w:eastAsiaTheme="minorEastAsia"/>
          <w:szCs w:val="24"/>
          <w:lang w:bidi="en-US"/>
        </w:rPr>
        <w:t xml:space="preserve"> </w:t>
      </w:r>
      <w:r w:rsidRPr="006C520E">
        <w:rPr>
          <w:rFonts w:eastAsiaTheme="minorEastAsia"/>
          <w:szCs w:val="24"/>
        </w:rPr>
        <w:t>denotes the underground economy</w:t>
      </w:r>
      <w:r w:rsidR="00444CB1" w:rsidRPr="006C520E">
        <w:rPr>
          <w:rFonts w:eastAsiaTheme="minorEastAsia"/>
          <w:szCs w:val="24"/>
        </w:rPr>
        <w:t xml:space="preserve"> (proxy by the ratio of </w:t>
      </w:r>
      <w:r w:rsidR="004B2E69" w:rsidRPr="006C520E">
        <w:rPr>
          <w:rFonts w:eastAsiaTheme="minorEastAsia"/>
          <w:szCs w:val="24"/>
        </w:rPr>
        <w:t xml:space="preserve">the </w:t>
      </w:r>
      <w:r w:rsidR="00444CB1" w:rsidRPr="006C520E">
        <w:rPr>
          <w:rFonts w:eastAsiaTheme="minorEastAsia"/>
          <w:szCs w:val="24"/>
        </w:rPr>
        <w:t>share of the underground economy to the official GDP)</w:t>
      </w:r>
      <w:r w:rsidR="009919C5" w:rsidRPr="006C520E">
        <w:rPr>
          <w:rFonts w:eastAsiaTheme="minorEastAsia"/>
          <w:szCs w:val="24"/>
        </w:rPr>
        <w:t xml:space="preserve">, and </w:t>
      </w:r>
      <m:oMath>
        <m:sSubSup>
          <m:sSubSupPr>
            <m:ctrlPr>
              <w:rPr>
                <w:rFonts w:ascii="Cambria Math" w:hAnsi="Cambria Math"/>
                <w:i/>
                <w:szCs w:val="24"/>
                <w:lang w:bidi="en-US"/>
              </w:rPr>
            </m:ctrlPr>
          </m:sSubSupPr>
          <m:e>
            <m:r>
              <w:rPr>
                <w:rFonts w:ascii="Cambria Math" w:hAnsi="Cambria Math"/>
                <w:szCs w:val="24"/>
                <w:lang w:bidi="en-US"/>
              </w:rPr>
              <m:t>Z</m:t>
            </m:r>
          </m:e>
          <m:sub>
            <m:r>
              <w:rPr>
                <w:rFonts w:ascii="Cambria Math" w:hAnsi="Cambria Math"/>
                <w:szCs w:val="24"/>
                <w:lang w:bidi="en-US"/>
              </w:rPr>
              <m:t>t</m:t>
            </m:r>
          </m:sub>
          <m:sup>
            <m:r>
              <w:rPr>
                <w:rFonts w:ascii="Cambria Math" w:hAnsi="Cambria Math"/>
                <w:szCs w:val="24"/>
                <w:lang w:bidi="en-US"/>
              </w:rPr>
              <m:t>'</m:t>
            </m:r>
          </m:sup>
        </m:sSubSup>
      </m:oMath>
      <w:r w:rsidR="009919C5" w:rsidRPr="006C520E">
        <w:rPr>
          <w:rFonts w:eastAsiaTheme="minorEastAsia"/>
          <w:szCs w:val="24"/>
          <w:lang w:bidi="en-US"/>
        </w:rPr>
        <w:t xml:space="preserve"> is the vector of control variables (such as gross government debt, domestic investment, exchange rate</w:t>
      </w:r>
      <w:r w:rsidR="00953349" w:rsidRPr="006C520E">
        <w:rPr>
          <w:rFonts w:eastAsiaTheme="minorEastAsia"/>
          <w:szCs w:val="24"/>
          <w:lang w:bidi="en-US"/>
        </w:rPr>
        <w:t xml:space="preserve">, </w:t>
      </w:r>
      <w:r w:rsidR="009919C5" w:rsidRPr="006C520E">
        <w:rPr>
          <w:rFonts w:eastAsiaTheme="minorEastAsia"/>
          <w:szCs w:val="24"/>
          <w:lang w:bidi="en-US"/>
        </w:rPr>
        <w:t>access to electricity</w:t>
      </w:r>
      <w:r w:rsidR="00953349" w:rsidRPr="006C520E">
        <w:rPr>
          <w:rFonts w:eastAsiaTheme="minorEastAsia"/>
          <w:szCs w:val="24"/>
          <w:lang w:bidi="en-US"/>
        </w:rPr>
        <w:t>, headline consumer price inflation, and primary fiscal balance</w:t>
      </w:r>
      <w:r w:rsidR="009919C5" w:rsidRPr="006C520E">
        <w:rPr>
          <w:rFonts w:eastAsiaTheme="minorEastAsia"/>
          <w:szCs w:val="24"/>
          <w:lang w:bidi="en-US"/>
        </w:rPr>
        <w:t>).</w:t>
      </w:r>
      <w:r w:rsidR="00860D7D" w:rsidRPr="006C520E">
        <w:rPr>
          <w:rFonts w:eastAsiaTheme="minorEastAsia"/>
          <w:szCs w:val="24"/>
          <w:lang w:bidi="en-US"/>
        </w:rPr>
        <w:t xml:space="preserve"> In addition,</w:t>
      </w:r>
      <w:r w:rsidRPr="006C520E">
        <w:rPr>
          <w:rFonts w:eastAsiaTheme="minorEastAsia"/>
          <w:szCs w:val="24"/>
        </w:rPr>
        <w:t xml:space="preserve"> </w:t>
      </w:r>
      <m:oMath>
        <m:r>
          <w:rPr>
            <w:rFonts w:ascii="Cambria Math" w:hAnsi="Cambria Math"/>
            <w:szCs w:val="24"/>
            <w:lang w:bidi="en-US"/>
          </w:rPr>
          <m:t>a</m:t>
        </m:r>
      </m:oMath>
      <w:r w:rsidR="00860D7D" w:rsidRPr="006C520E">
        <w:rPr>
          <w:rFonts w:eastAsiaTheme="minorEastAsia"/>
          <w:szCs w:val="24"/>
          <w:lang w:bidi="en-US"/>
        </w:rPr>
        <w:t xml:space="preserve">,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1</m:t>
            </m:r>
          </m:sub>
        </m:sSub>
      </m:oMath>
      <w:r w:rsidRPr="006C520E">
        <w:rPr>
          <w:rFonts w:eastAsiaTheme="minorEastAsia"/>
          <w:szCs w:val="24"/>
          <w:lang w:bidi="en-US"/>
        </w:rPr>
        <w:t xml:space="preserve"> and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2</m:t>
            </m:r>
          </m:sub>
        </m:sSub>
      </m:oMath>
      <w:r w:rsidR="00DC6FE8" w:rsidRPr="006C520E">
        <w:rPr>
          <w:rFonts w:eastAsiaTheme="minorEastAsia"/>
          <w:szCs w:val="24"/>
          <w:lang w:bidi="en-US"/>
        </w:rPr>
        <w:t xml:space="preserve">  </w:t>
      </w:r>
      <w:r w:rsidRPr="006C520E">
        <w:rPr>
          <w:rFonts w:eastAsiaTheme="minorEastAsia"/>
          <w:szCs w:val="24"/>
          <w:lang w:bidi="en-US"/>
        </w:rPr>
        <w:t xml:space="preserve">represent the </w:t>
      </w:r>
      <w:r w:rsidR="00860D7D" w:rsidRPr="006C520E">
        <w:rPr>
          <w:rFonts w:eastAsiaTheme="minorEastAsia"/>
          <w:szCs w:val="24"/>
          <w:lang w:bidi="en-US"/>
        </w:rPr>
        <w:t xml:space="preserve">intercept, </w:t>
      </w:r>
      <w:r w:rsidR="00992518" w:rsidRPr="006C520E">
        <w:rPr>
          <w:rFonts w:eastAsiaTheme="minorEastAsia"/>
          <w:szCs w:val="24"/>
          <w:lang w:bidi="en-US"/>
        </w:rPr>
        <w:t xml:space="preserve">and the </w:t>
      </w:r>
      <w:r w:rsidRPr="006C520E">
        <w:rPr>
          <w:rFonts w:eastAsiaTheme="minorEastAsia"/>
          <w:szCs w:val="24"/>
          <w:lang w:bidi="en-US"/>
        </w:rPr>
        <w:t>slope coefficient</w:t>
      </w:r>
      <w:r w:rsidR="00992518" w:rsidRPr="006C520E">
        <w:rPr>
          <w:rFonts w:eastAsiaTheme="minorEastAsia"/>
          <w:szCs w:val="24"/>
          <w:lang w:bidi="en-US"/>
        </w:rPr>
        <w:t>s</w:t>
      </w:r>
      <w:r w:rsidRPr="006C520E">
        <w:rPr>
          <w:rFonts w:eastAsiaTheme="minorEastAsia"/>
          <w:szCs w:val="24"/>
          <w:lang w:bidi="en-US"/>
        </w:rPr>
        <w:t xml:space="preserve"> of oil </w:t>
      </w:r>
      <w:r w:rsidR="00992518" w:rsidRPr="006C520E">
        <w:rPr>
          <w:rFonts w:eastAsiaTheme="minorEastAsia"/>
          <w:szCs w:val="24"/>
          <w:lang w:bidi="en-US"/>
        </w:rPr>
        <w:t xml:space="preserve">revenue </w:t>
      </w:r>
      <w:r w:rsidRPr="006C520E">
        <w:rPr>
          <w:rFonts w:eastAsiaTheme="minorEastAsia"/>
          <w:szCs w:val="24"/>
          <w:lang w:bidi="en-US"/>
        </w:rPr>
        <w:t xml:space="preserve">and the underground economy, respectively.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3</m:t>
            </m:r>
          </m:sub>
        </m:sSub>
        <m:r>
          <w:rPr>
            <w:rFonts w:ascii="Cambria Math" w:hAnsi="Cambria Math"/>
            <w:szCs w:val="24"/>
            <w:lang w:bidi="en-US"/>
          </w:rPr>
          <m:t xml:space="preserve"> </m:t>
        </m:r>
      </m:oMath>
      <w:r w:rsidRPr="006C520E">
        <w:rPr>
          <w:rFonts w:eastAsiaTheme="minorEastAsia"/>
          <w:szCs w:val="24"/>
          <w:lang w:bidi="en-US"/>
        </w:rPr>
        <w:t xml:space="preserve">is the parameter of the interaction </w:t>
      </w:r>
      <w:r w:rsidR="00992518" w:rsidRPr="006C520E">
        <w:rPr>
          <w:rFonts w:eastAsiaTheme="minorEastAsia"/>
          <w:szCs w:val="24"/>
          <w:lang w:bidi="en-US"/>
        </w:rPr>
        <w:t xml:space="preserve">term, </w:t>
      </w:r>
      <w:r w:rsidRPr="006C520E">
        <w:rPr>
          <w:rFonts w:eastAsiaTheme="minorEastAsia"/>
          <w:szCs w:val="24"/>
          <w:lang w:bidi="en-US"/>
        </w:rPr>
        <w:t xml:space="preserve">and </w:t>
      </w:r>
      <m:oMath>
        <m:r>
          <w:rPr>
            <w:rFonts w:ascii="Cambria Math" w:hAnsi="Cambria Math"/>
            <w:szCs w:val="24"/>
            <w:lang w:bidi="en-US"/>
          </w:rPr>
          <m:t>ϑ</m:t>
        </m:r>
      </m:oMath>
      <w:r w:rsidRPr="006C520E">
        <w:rPr>
          <w:rFonts w:eastAsiaTheme="minorEastAsia"/>
          <w:szCs w:val="24"/>
          <w:lang w:bidi="en-US"/>
        </w:rPr>
        <w:t xml:space="preserve"> is the vector of the coefficient</w:t>
      </w:r>
      <w:r w:rsidR="00992518" w:rsidRPr="006C520E">
        <w:rPr>
          <w:rFonts w:eastAsiaTheme="minorEastAsia"/>
          <w:szCs w:val="24"/>
          <w:lang w:bidi="en-US"/>
        </w:rPr>
        <w:t xml:space="preserve"> of control variables</w:t>
      </w:r>
      <w:r w:rsidRPr="006C520E">
        <w:rPr>
          <w:rFonts w:eastAsiaTheme="minorEastAsia"/>
          <w:szCs w:val="24"/>
          <w:lang w:bidi="en-US"/>
        </w:rPr>
        <w:t xml:space="preserve">. </w:t>
      </w:r>
      <m:oMath>
        <m:sSub>
          <m:sSubPr>
            <m:ctrlPr>
              <w:rPr>
                <w:rFonts w:ascii="Cambria Math" w:hAnsi="Cambria Math"/>
                <w:i/>
                <w:szCs w:val="24"/>
                <w:lang w:bidi="en-US"/>
              </w:rPr>
            </m:ctrlPr>
          </m:sSubPr>
          <m:e>
            <m:r>
              <w:rPr>
                <w:rFonts w:ascii="Cambria Math" w:hAnsi="Cambria Math"/>
                <w:szCs w:val="24"/>
                <w:lang w:bidi="en-US"/>
              </w:rPr>
              <m:t>μ</m:t>
            </m:r>
          </m:e>
          <m:sub>
            <m:r>
              <w:rPr>
                <w:rFonts w:ascii="Cambria Math" w:hAnsi="Cambria Math"/>
                <w:szCs w:val="24"/>
                <w:lang w:bidi="en-US"/>
              </w:rPr>
              <m:t>t</m:t>
            </m:r>
          </m:sub>
        </m:sSub>
      </m:oMath>
      <w:r w:rsidR="00EA5AFB" w:rsidRPr="006C520E">
        <w:rPr>
          <w:rFonts w:eastAsiaTheme="minorEastAsia"/>
          <w:szCs w:val="24"/>
          <w:lang w:bidi="en-US"/>
        </w:rPr>
        <w:t xml:space="preserve"> </w:t>
      </w:r>
      <w:r w:rsidRPr="006C520E">
        <w:rPr>
          <w:szCs w:val="24"/>
          <w:lang w:bidi="en-US"/>
        </w:rPr>
        <w:t>denote</w:t>
      </w:r>
      <w:r w:rsidR="00320799" w:rsidRPr="006C520E">
        <w:rPr>
          <w:szCs w:val="24"/>
          <w:lang w:bidi="en-US"/>
        </w:rPr>
        <w:t>s</w:t>
      </w:r>
      <w:r w:rsidRPr="006C520E">
        <w:rPr>
          <w:szCs w:val="24"/>
          <w:lang w:bidi="en-US"/>
        </w:rPr>
        <w:t xml:space="preserve"> the stochastic error terms with zero mean and constant variance.</w:t>
      </w:r>
      <w:r w:rsidR="00BD32A1" w:rsidRPr="006C520E">
        <w:rPr>
          <w:szCs w:val="24"/>
          <w:lang w:bidi="en-US"/>
        </w:rPr>
        <w:t xml:space="preserve"> To reduce skewness, real GDP is </w:t>
      </w:r>
      <w:r w:rsidR="00E446F7">
        <w:rPr>
          <w:szCs w:val="24"/>
          <w:lang w:bidi="en-US"/>
        </w:rPr>
        <w:t xml:space="preserve">log transformed </w:t>
      </w:r>
      <w:r w:rsidR="004B2E69" w:rsidRPr="006C520E">
        <w:rPr>
          <w:szCs w:val="24"/>
          <w:lang w:bidi="en-US"/>
        </w:rPr>
        <w:t xml:space="preserve">before </w:t>
      </w:r>
      <w:r w:rsidR="00BD32A1" w:rsidRPr="006C520E">
        <w:rPr>
          <w:szCs w:val="24"/>
          <w:lang w:bidi="en-US"/>
        </w:rPr>
        <w:t>analysis</w:t>
      </w:r>
      <w:r w:rsidR="003763C5" w:rsidRPr="006C520E">
        <w:rPr>
          <w:szCs w:val="24"/>
          <w:lang w:bidi="en-US"/>
        </w:rPr>
        <w:t xml:space="preserve">, while the percentage change in </w:t>
      </w:r>
      <w:r w:rsidR="00F6687D" w:rsidRPr="006C520E">
        <w:rPr>
          <w:szCs w:val="24"/>
          <w:lang w:bidi="en-US"/>
        </w:rPr>
        <w:t xml:space="preserve">the </w:t>
      </w:r>
      <w:r w:rsidR="003763C5" w:rsidRPr="006C520E">
        <w:rPr>
          <w:szCs w:val="24"/>
          <w:lang w:bidi="en-US"/>
        </w:rPr>
        <w:t>headline consumer price index is computed</w:t>
      </w:r>
      <w:r w:rsidR="00BD32A1" w:rsidRPr="006C520E">
        <w:rPr>
          <w:szCs w:val="24"/>
          <w:lang w:bidi="en-US"/>
        </w:rPr>
        <w:t>.</w:t>
      </w:r>
    </w:p>
    <w:p w14:paraId="4F0F537C" w14:textId="61F713A0" w:rsidR="00601308" w:rsidRPr="006C520E" w:rsidRDefault="0052209D" w:rsidP="00601308">
      <w:pPr>
        <w:rPr>
          <w:szCs w:val="24"/>
        </w:rPr>
      </w:pPr>
      <w:r w:rsidRPr="006C520E">
        <w:rPr>
          <w:szCs w:val="24"/>
        </w:rPr>
        <w:t xml:space="preserve">Through the </w:t>
      </w:r>
      <w:r w:rsidR="00601308" w:rsidRPr="006C520E">
        <w:rPr>
          <w:szCs w:val="24"/>
        </w:rPr>
        <w:t>interaction term</w:t>
      </w:r>
      <w:r w:rsidRPr="006C520E">
        <w:rPr>
          <w:szCs w:val="24"/>
        </w:rPr>
        <w:t xml:space="preserve"> between oil wealth and the underground economy</w:t>
      </w:r>
      <w:r w:rsidR="00601308" w:rsidRPr="006C520E">
        <w:rPr>
          <w:szCs w:val="24"/>
        </w:rPr>
        <w:t xml:space="preserve">, </w:t>
      </w:r>
      <w:r w:rsidRPr="006C520E">
        <w:rPr>
          <w:szCs w:val="24"/>
        </w:rPr>
        <w:t xml:space="preserve">the marginal effect of changes in </w:t>
      </w:r>
      <w:r w:rsidR="00EB3AEA">
        <w:rPr>
          <w:szCs w:val="24"/>
        </w:rPr>
        <w:t xml:space="preserve">oil wealth on growth </w:t>
      </w:r>
      <w:r w:rsidRPr="006C520E">
        <w:rPr>
          <w:szCs w:val="24"/>
        </w:rPr>
        <w:t>can be captured through the partial derivatives of Equation (1) with respect to oil wealth as follows:</w:t>
      </w:r>
    </w:p>
    <w:tbl>
      <w:tblPr>
        <w:tblW w:w="5000" w:type="pct"/>
        <w:tblLook w:val="04A0" w:firstRow="1" w:lastRow="0" w:firstColumn="1" w:lastColumn="0" w:noHBand="0" w:noVBand="1"/>
      </w:tblPr>
      <w:tblGrid>
        <w:gridCol w:w="897"/>
        <w:gridCol w:w="7568"/>
        <w:gridCol w:w="895"/>
      </w:tblGrid>
      <w:tr w:rsidR="00601308" w:rsidRPr="006C520E" w14:paraId="6BB1CEE5" w14:textId="77777777" w:rsidTr="005F2548">
        <w:tc>
          <w:tcPr>
            <w:tcW w:w="479" w:type="pct"/>
            <w:vAlign w:val="center"/>
          </w:tcPr>
          <w:p w14:paraId="1A029AFC" w14:textId="77777777" w:rsidR="00601308" w:rsidRPr="006C520E" w:rsidRDefault="00601308" w:rsidP="005F2548">
            <w:pPr>
              <w:spacing w:before="120"/>
              <w:rPr>
                <w:szCs w:val="24"/>
              </w:rPr>
            </w:pPr>
          </w:p>
        </w:tc>
        <w:tc>
          <w:tcPr>
            <w:tcW w:w="4043" w:type="pct"/>
            <w:vAlign w:val="center"/>
            <w:hideMark/>
          </w:tcPr>
          <w:p w14:paraId="71006E57" w14:textId="260E438A" w:rsidR="00601308" w:rsidRPr="006C520E" w:rsidRDefault="00000000" w:rsidP="005F2548">
            <w:pPr>
              <w:spacing w:before="120"/>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oil</m:t>
                        </m:r>
                      </m:e>
                      <m:sub>
                        <m:r>
                          <w:rPr>
                            <w:rFonts w:ascii="Cambria Math" w:hAnsi="Cambria Math"/>
                            <w:szCs w:val="24"/>
                          </w:rPr>
                          <m:t>t</m:t>
                        </m:r>
                      </m:sub>
                    </m:sSub>
                  </m:den>
                </m:f>
                <m:r>
                  <w:rPr>
                    <w:rFonts w:ascii="Cambria Math" w:hAnsi="Cambria Math"/>
                    <w:szCs w:val="24"/>
                  </w:rPr>
                  <m:t>=</m:t>
                </m:r>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1</m:t>
                    </m:r>
                  </m:sub>
                </m:sSub>
                <m:r>
                  <w:rPr>
                    <w:rFonts w:ascii="Cambria Math" w:hAnsi="Cambria Math"/>
                    <w:szCs w:val="24"/>
                  </w:rPr>
                  <m:t>+</m:t>
                </m:r>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3</m:t>
                    </m:r>
                  </m:sub>
                </m:sSub>
                <m:sSub>
                  <m:sSubPr>
                    <m:ctrlPr>
                      <w:rPr>
                        <w:rFonts w:ascii="Cambria Math" w:hAnsi="Cambria Math"/>
                        <w:i/>
                        <w:szCs w:val="24"/>
                        <w:highlight w:val="yellow"/>
                        <w:lang w:bidi="en-US"/>
                      </w:rPr>
                    </m:ctrlPr>
                  </m:sSubPr>
                  <m:e>
                    <m:r>
                      <w:rPr>
                        <w:rFonts w:ascii="Cambria Math" w:hAnsi="Cambria Math"/>
                        <w:szCs w:val="24"/>
                        <w:highlight w:val="yellow"/>
                        <w:lang w:bidi="en-US"/>
                      </w:rPr>
                      <m:t>ue</m:t>
                    </m:r>
                  </m:e>
                  <m:sub>
                    <m:r>
                      <w:rPr>
                        <w:rFonts w:ascii="Cambria Math" w:hAnsi="Cambria Math"/>
                        <w:szCs w:val="24"/>
                        <w:highlight w:val="yellow"/>
                        <w:lang w:bidi="en-US"/>
                      </w:rPr>
                      <m:t>t</m:t>
                    </m:r>
                  </m:sub>
                </m:sSub>
              </m:oMath>
            </m:oMathPara>
          </w:p>
        </w:tc>
        <w:tc>
          <w:tcPr>
            <w:tcW w:w="478" w:type="pct"/>
            <w:vAlign w:val="center"/>
            <w:hideMark/>
          </w:tcPr>
          <w:p w14:paraId="3895F3AC" w14:textId="68C97008" w:rsidR="00601308" w:rsidRPr="006C520E" w:rsidRDefault="00601308" w:rsidP="005F2548">
            <w:pPr>
              <w:spacing w:before="120"/>
              <w:jc w:val="right"/>
              <w:rPr>
                <w:szCs w:val="24"/>
              </w:rPr>
            </w:pPr>
            <w:r w:rsidRPr="006C520E">
              <w:rPr>
                <w:szCs w:val="24"/>
              </w:rPr>
              <w:t>(</w:t>
            </w:r>
            <w:r w:rsidR="0066167E" w:rsidRPr="006C520E">
              <w:rPr>
                <w:szCs w:val="24"/>
              </w:rPr>
              <w:t>2</w:t>
            </w:r>
            <w:r w:rsidRPr="006C520E">
              <w:rPr>
                <w:szCs w:val="24"/>
              </w:rPr>
              <w:t>)</w:t>
            </w:r>
          </w:p>
        </w:tc>
      </w:tr>
    </w:tbl>
    <w:p w14:paraId="5220DD58" w14:textId="7BD90558" w:rsidR="00601308" w:rsidRPr="006C520E" w:rsidRDefault="00676E20" w:rsidP="000228AE">
      <w:pPr>
        <w:rPr>
          <w:szCs w:val="24"/>
        </w:rPr>
      </w:pPr>
      <w:r w:rsidRPr="006C520E">
        <w:rPr>
          <w:szCs w:val="24"/>
        </w:rPr>
        <w:t xml:space="preserve">To determine whether the oil wealth-growth relationship is contingent on the size of the underground economy, we focus on the signs of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1</m:t>
            </m:r>
          </m:sub>
        </m:sSub>
      </m:oMath>
      <w:r w:rsidRPr="006C520E">
        <w:rPr>
          <w:rFonts w:eastAsiaTheme="minorEastAsia"/>
          <w:szCs w:val="24"/>
          <w:lang w:bidi="en-US"/>
        </w:rPr>
        <w:t xml:space="preserve"> and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3</m:t>
            </m:r>
          </m:sub>
        </m:sSub>
      </m:oMath>
      <w:r w:rsidRPr="006C520E">
        <w:rPr>
          <w:rFonts w:eastAsiaTheme="minorEastAsia"/>
          <w:szCs w:val="24"/>
          <w:lang w:bidi="en-US"/>
        </w:rPr>
        <w:t xml:space="preserve">, as they have fundamental policy implications. First, </w:t>
      </w:r>
      <w:r w:rsidR="00601308" w:rsidRPr="006C520E">
        <w:rPr>
          <w:szCs w:val="24"/>
        </w:rPr>
        <w:t xml:space="preserve">if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1</m:t>
            </m:r>
          </m:sub>
        </m:sSub>
      </m:oMath>
      <w:r w:rsidR="000228AE" w:rsidRPr="006C520E">
        <w:rPr>
          <w:rFonts w:eastAsiaTheme="minorEastAsia"/>
          <w:szCs w:val="24"/>
          <w:lang w:bidi="en-US"/>
        </w:rPr>
        <w:t xml:space="preserve"> and </w:t>
      </w:r>
      <m:oMath>
        <m:sSub>
          <m:sSubPr>
            <m:ctrlPr>
              <w:rPr>
                <w:rFonts w:ascii="Cambria Math" w:hAnsi="Cambria Math"/>
                <w:i/>
                <w:szCs w:val="24"/>
                <w:lang w:bidi="en-US"/>
              </w:rPr>
            </m:ctrlPr>
          </m:sSubPr>
          <m:e>
            <m:r>
              <w:rPr>
                <w:rFonts w:ascii="Cambria Math" w:hAnsi="Cambria Math"/>
                <w:szCs w:val="24"/>
                <w:lang w:bidi="en-US"/>
              </w:rPr>
              <m:t>ψ</m:t>
            </m:r>
          </m:e>
          <m:sub>
            <m:r>
              <w:rPr>
                <w:rFonts w:ascii="Cambria Math" w:hAnsi="Cambria Math"/>
                <w:szCs w:val="24"/>
                <w:lang w:bidi="en-US"/>
              </w:rPr>
              <m:t>3</m:t>
            </m:r>
          </m:sub>
        </m:sSub>
      </m:oMath>
      <w:r w:rsidR="000228AE" w:rsidRPr="006C520E">
        <w:rPr>
          <w:szCs w:val="24"/>
        </w:rPr>
        <w:t xml:space="preserve"> </w:t>
      </w:r>
      <w:r w:rsidR="00EA5AFB" w:rsidRPr="006C520E">
        <w:rPr>
          <w:szCs w:val="24"/>
        </w:rPr>
        <w:t xml:space="preserve">are positive </w:t>
      </w:r>
      <w:r w:rsidR="00601308" w:rsidRPr="006C520E">
        <w:rPr>
          <w:szCs w:val="24"/>
        </w:rPr>
        <w:t xml:space="preserve">it implies that oil </w:t>
      </w:r>
      <w:r w:rsidR="000228AE" w:rsidRPr="006C520E">
        <w:rPr>
          <w:szCs w:val="24"/>
        </w:rPr>
        <w:t>wealth stimulate</w:t>
      </w:r>
      <w:r w:rsidR="00F6687D" w:rsidRPr="006C520E">
        <w:rPr>
          <w:szCs w:val="24"/>
        </w:rPr>
        <w:t>s</w:t>
      </w:r>
      <w:r w:rsidR="000228AE" w:rsidRPr="006C520E">
        <w:rPr>
          <w:szCs w:val="24"/>
        </w:rPr>
        <w:t xml:space="preserve"> </w:t>
      </w:r>
      <w:r w:rsidR="00601308" w:rsidRPr="006C520E">
        <w:rPr>
          <w:szCs w:val="24"/>
        </w:rPr>
        <w:t xml:space="preserve">economic growth, and </w:t>
      </w:r>
      <w:r w:rsidR="000228AE" w:rsidRPr="006C520E">
        <w:rPr>
          <w:szCs w:val="24"/>
        </w:rPr>
        <w:t xml:space="preserve">an increase </w:t>
      </w:r>
      <w:r w:rsidR="00601308" w:rsidRPr="006C520E">
        <w:rPr>
          <w:szCs w:val="24"/>
        </w:rPr>
        <w:t xml:space="preserve">in the size of the underground economy intensifies this effect. </w:t>
      </w:r>
      <w:r w:rsidR="000228AE" w:rsidRPr="006C520E">
        <w:rPr>
          <w:szCs w:val="24"/>
        </w:rPr>
        <w:t xml:space="preserve">Second, if </w:t>
      </w:r>
      <w:r w:rsidR="00601308" w:rsidRPr="006C520E">
        <w:rPr>
          <w:szCs w:val="24"/>
        </w:rPr>
        <w:t xml:space="preserve">the coefficients have different signs, it signals the presence of a threshold effect, implying that the </w:t>
      </w:r>
      <w:r w:rsidR="000228AE" w:rsidRPr="006C520E">
        <w:rPr>
          <w:szCs w:val="24"/>
        </w:rPr>
        <w:t xml:space="preserve">impact of oil wealth </w:t>
      </w:r>
      <w:r w:rsidR="00601308" w:rsidRPr="006C520E">
        <w:rPr>
          <w:szCs w:val="24"/>
        </w:rPr>
        <w:t xml:space="preserve">on growth varies with the size of the underground economy. </w:t>
      </w:r>
    </w:p>
    <w:p w14:paraId="51D85CFF" w14:textId="64C501F0" w:rsidR="00601308" w:rsidRPr="006C520E" w:rsidRDefault="004206D4" w:rsidP="000A3285">
      <w:pPr>
        <w:pStyle w:val="Heading2"/>
        <w:rPr>
          <w:rFonts w:ascii="Garamond" w:hAnsi="Garamond"/>
          <w:bCs/>
          <w:i/>
          <w:iCs/>
          <w:color w:val="auto"/>
          <w:sz w:val="24"/>
          <w:szCs w:val="24"/>
        </w:rPr>
      </w:pPr>
      <w:r w:rsidRPr="006C520E">
        <w:rPr>
          <w:rFonts w:ascii="Garamond" w:hAnsi="Garamond"/>
          <w:bCs/>
          <w:i/>
          <w:iCs/>
          <w:color w:val="auto"/>
          <w:sz w:val="24"/>
          <w:szCs w:val="24"/>
        </w:rPr>
        <w:t>3</w:t>
      </w:r>
      <w:r w:rsidR="00601308" w:rsidRPr="006C520E">
        <w:rPr>
          <w:rFonts w:ascii="Garamond" w:hAnsi="Garamond"/>
          <w:bCs/>
          <w:i/>
          <w:iCs/>
          <w:color w:val="auto"/>
          <w:sz w:val="24"/>
          <w:szCs w:val="24"/>
        </w:rPr>
        <w:t>.</w:t>
      </w:r>
      <w:r w:rsidR="00C860C5" w:rsidRPr="006C520E">
        <w:rPr>
          <w:rFonts w:ascii="Garamond" w:hAnsi="Garamond"/>
          <w:bCs/>
          <w:i/>
          <w:iCs/>
          <w:color w:val="auto"/>
          <w:sz w:val="24"/>
          <w:szCs w:val="24"/>
        </w:rPr>
        <w:t>3</w:t>
      </w:r>
      <w:r w:rsidR="00601308" w:rsidRPr="006C520E">
        <w:rPr>
          <w:rFonts w:ascii="Garamond" w:hAnsi="Garamond"/>
          <w:bCs/>
          <w:i/>
          <w:iCs/>
          <w:color w:val="auto"/>
          <w:sz w:val="24"/>
          <w:szCs w:val="24"/>
        </w:rPr>
        <w:t xml:space="preserve"> Data</w:t>
      </w:r>
      <w:r w:rsidR="00D46ED2" w:rsidRPr="006C520E">
        <w:rPr>
          <w:rFonts w:ascii="Garamond" w:hAnsi="Garamond"/>
          <w:bCs/>
          <w:i/>
          <w:iCs/>
          <w:color w:val="auto"/>
          <w:sz w:val="24"/>
          <w:szCs w:val="24"/>
        </w:rPr>
        <w:t xml:space="preserve"> source</w:t>
      </w:r>
      <w:r w:rsidR="00C1763F" w:rsidRPr="006C520E">
        <w:rPr>
          <w:rFonts w:ascii="Garamond" w:hAnsi="Garamond"/>
          <w:bCs/>
          <w:i/>
          <w:iCs/>
          <w:color w:val="auto"/>
          <w:sz w:val="24"/>
          <w:szCs w:val="24"/>
        </w:rPr>
        <w:t>s</w:t>
      </w:r>
      <w:r w:rsidR="00D46ED2" w:rsidRPr="006C520E">
        <w:rPr>
          <w:rFonts w:ascii="Garamond" w:hAnsi="Garamond"/>
          <w:bCs/>
          <w:i/>
          <w:iCs/>
          <w:color w:val="auto"/>
          <w:sz w:val="24"/>
          <w:szCs w:val="24"/>
        </w:rPr>
        <w:t xml:space="preserve"> and description </w:t>
      </w:r>
    </w:p>
    <w:p w14:paraId="5F9F52EA" w14:textId="6F0F91B3" w:rsidR="00DF0E72" w:rsidRDefault="008A5F1D" w:rsidP="00601308">
      <w:pPr>
        <w:rPr>
          <w:szCs w:val="24"/>
        </w:rPr>
      </w:pPr>
      <w:r w:rsidRPr="006C520E">
        <w:rPr>
          <w:szCs w:val="24"/>
        </w:rPr>
        <w:t>Th</w:t>
      </w:r>
      <w:r w:rsidR="00FF4EB1" w:rsidRPr="006C520E">
        <w:rPr>
          <w:szCs w:val="24"/>
        </w:rPr>
        <w:t>is</w:t>
      </w:r>
      <w:r w:rsidRPr="006C520E">
        <w:rPr>
          <w:szCs w:val="24"/>
        </w:rPr>
        <w:t xml:space="preserve"> research uses quarterly </w:t>
      </w:r>
      <w:r w:rsidR="00B21CF9" w:rsidRPr="006C520E">
        <w:rPr>
          <w:szCs w:val="24"/>
        </w:rPr>
        <w:t>data covering the 1990-2022</w:t>
      </w:r>
      <w:r w:rsidR="005F1B18">
        <w:rPr>
          <w:szCs w:val="24"/>
        </w:rPr>
        <w:t xml:space="preserve"> period</w:t>
      </w:r>
      <w:r w:rsidR="00B21CF9" w:rsidRPr="006C520E">
        <w:rPr>
          <w:szCs w:val="24"/>
        </w:rPr>
        <w:t xml:space="preserve">. </w:t>
      </w:r>
      <w:r w:rsidR="00ED61AA" w:rsidRPr="006C520E">
        <w:rPr>
          <w:szCs w:val="24"/>
        </w:rPr>
        <w:t>Quarterly real GDP and exchange rate</w:t>
      </w:r>
      <w:r w:rsidR="0094567F" w:rsidRPr="006C520E">
        <w:rPr>
          <w:szCs w:val="24"/>
        </w:rPr>
        <w:t xml:space="preserve"> (domestic currency (Naira) per the US Dollar, period average) are </w:t>
      </w:r>
      <w:r w:rsidR="00A652CD" w:rsidRPr="006C520E">
        <w:rPr>
          <w:szCs w:val="24"/>
        </w:rPr>
        <w:t xml:space="preserve">sourced </w:t>
      </w:r>
      <w:r w:rsidR="0094567F" w:rsidRPr="006C520E">
        <w:rPr>
          <w:szCs w:val="24"/>
        </w:rPr>
        <w:t>from the IMF’s International Financial S</w:t>
      </w:r>
      <w:r w:rsidR="00A652CD" w:rsidRPr="006C520E">
        <w:rPr>
          <w:szCs w:val="24"/>
        </w:rPr>
        <w:t xml:space="preserve">tatistics (IFS) database, </w:t>
      </w:r>
      <w:r w:rsidR="0094567F" w:rsidRPr="006C520E">
        <w:rPr>
          <w:szCs w:val="24"/>
        </w:rPr>
        <w:t xml:space="preserve">while the data for </w:t>
      </w:r>
      <w:r w:rsidR="00A652CD" w:rsidRPr="006C520E">
        <w:rPr>
          <w:szCs w:val="24"/>
        </w:rPr>
        <w:t xml:space="preserve">the </w:t>
      </w:r>
      <w:r w:rsidR="0094567F" w:rsidRPr="006C520E">
        <w:rPr>
          <w:szCs w:val="24"/>
        </w:rPr>
        <w:t>gross general government debt (% of GDP)</w:t>
      </w:r>
      <w:r w:rsidR="00B54D88" w:rsidRPr="006C520E">
        <w:rPr>
          <w:szCs w:val="24"/>
        </w:rPr>
        <w:t>, primary fiscal balance (</w:t>
      </w:r>
      <w:r w:rsidR="00B962E1" w:rsidRPr="006C520E">
        <w:rPr>
          <w:szCs w:val="24"/>
        </w:rPr>
        <w:t>the difference between total public revenue and expenditure, excluding net interest payments on public debt, relative to the GDP)</w:t>
      </w:r>
      <w:r w:rsidR="00B54D88" w:rsidRPr="006C520E">
        <w:rPr>
          <w:szCs w:val="24"/>
        </w:rPr>
        <w:t xml:space="preserve">, </w:t>
      </w:r>
      <w:r w:rsidR="00A652CD" w:rsidRPr="006C520E">
        <w:rPr>
          <w:szCs w:val="24"/>
        </w:rPr>
        <w:t xml:space="preserve">and </w:t>
      </w:r>
      <w:r w:rsidR="0094567F" w:rsidRPr="006C520E">
        <w:rPr>
          <w:szCs w:val="24"/>
        </w:rPr>
        <w:t>domestic investment (ratio of gross capital formation to the GDP)</w:t>
      </w:r>
      <w:r w:rsidR="00A652CD" w:rsidRPr="006C520E">
        <w:rPr>
          <w:szCs w:val="24"/>
        </w:rPr>
        <w:t xml:space="preserve"> are extracted from the </w:t>
      </w:r>
      <w:r w:rsidR="0094567F" w:rsidRPr="006C520E">
        <w:rPr>
          <w:szCs w:val="24"/>
        </w:rPr>
        <w:t>IMF’s World Economic Outlook</w:t>
      </w:r>
      <w:r w:rsidR="001A0372" w:rsidRPr="006C520E">
        <w:rPr>
          <w:szCs w:val="24"/>
        </w:rPr>
        <w:t xml:space="preserve"> (WEO)</w:t>
      </w:r>
      <w:r w:rsidR="0094567F" w:rsidRPr="006C520E">
        <w:rPr>
          <w:szCs w:val="24"/>
        </w:rPr>
        <w:t>.</w:t>
      </w:r>
      <w:r w:rsidR="00A652CD" w:rsidRPr="006C520E">
        <w:rPr>
          <w:szCs w:val="24"/>
        </w:rPr>
        <w:t xml:space="preserve"> </w:t>
      </w:r>
      <w:r w:rsidR="00ED61AA" w:rsidRPr="006C520E">
        <w:rPr>
          <w:szCs w:val="24"/>
        </w:rPr>
        <w:t>The quarterly headline consumer price inflation is from the World Bank’s global database of inflation (Ha</w:t>
      </w:r>
      <w:r w:rsidR="00757A7D" w:rsidRPr="006C520E">
        <w:rPr>
          <w:szCs w:val="24"/>
        </w:rPr>
        <w:t xml:space="preserve"> </w:t>
      </w:r>
      <w:r w:rsidR="00757A7D" w:rsidRPr="006C520E">
        <w:rPr>
          <w:i/>
          <w:iCs/>
          <w:szCs w:val="24"/>
        </w:rPr>
        <w:t>et al</w:t>
      </w:r>
      <w:r w:rsidR="00757A7D" w:rsidRPr="006C520E">
        <w:rPr>
          <w:szCs w:val="24"/>
        </w:rPr>
        <w:t xml:space="preserve">., 2021). </w:t>
      </w:r>
      <w:r w:rsidR="00A652CD" w:rsidRPr="006C520E">
        <w:rPr>
          <w:szCs w:val="24"/>
        </w:rPr>
        <w:t xml:space="preserve">In addition, data on </w:t>
      </w:r>
      <w:r w:rsidR="001807F8" w:rsidRPr="006C520E">
        <w:rPr>
          <w:szCs w:val="24"/>
        </w:rPr>
        <w:t>infrastructure (percentage of the population with access to electricity)</w:t>
      </w:r>
      <w:r w:rsidR="006F4306" w:rsidRPr="006C520E">
        <w:rPr>
          <w:szCs w:val="24"/>
        </w:rPr>
        <w:t xml:space="preserve"> </w:t>
      </w:r>
      <w:r w:rsidR="000B615A" w:rsidRPr="006C520E">
        <w:rPr>
          <w:szCs w:val="24"/>
        </w:rPr>
        <w:t xml:space="preserve">is sourced from the World Bank’s World Development Indicators (WDI) database, while </w:t>
      </w:r>
      <w:r w:rsidR="006F4306" w:rsidRPr="006C520E">
        <w:rPr>
          <w:szCs w:val="24"/>
        </w:rPr>
        <w:t xml:space="preserve">oil revenue (relative to the current GDP) </w:t>
      </w:r>
      <w:r w:rsidR="000B615A" w:rsidRPr="006C520E">
        <w:rPr>
          <w:szCs w:val="24"/>
        </w:rPr>
        <w:t xml:space="preserve">data </w:t>
      </w:r>
      <w:r w:rsidR="006F4306" w:rsidRPr="006C520E">
        <w:rPr>
          <w:szCs w:val="24"/>
        </w:rPr>
        <w:t>is from the Central Bank of Nigeria’s (CBN) statistical bulletin.</w:t>
      </w:r>
      <w:r w:rsidR="006E225D" w:rsidRPr="006C520E">
        <w:rPr>
          <w:szCs w:val="24"/>
        </w:rPr>
        <w:t xml:space="preserve"> Lastly, </w:t>
      </w:r>
      <w:r w:rsidR="00320B42" w:rsidRPr="006C520E">
        <w:rPr>
          <w:szCs w:val="24"/>
        </w:rPr>
        <w:t xml:space="preserve">the data for the underground economy is from the </w:t>
      </w:r>
      <w:r w:rsidR="006D7DF6" w:rsidRPr="006C520E">
        <w:rPr>
          <w:rFonts w:cs="Courier New"/>
          <w:szCs w:val="24"/>
          <w:shd w:val="clear" w:color="auto" w:fill="FFFFFF"/>
        </w:rPr>
        <w:t xml:space="preserve">shadow economy database computed by </w:t>
      </w:r>
      <w:r w:rsidR="006D7DF6" w:rsidRPr="006C520E">
        <w:rPr>
          <w:szCs w:val="24"/>
        </w:rPr>
        <w:t>Medina and Schneider (2019)</w:t>
      </w:r>
      <w:r w:rsidR="00067168" w:rsidRPr="006C520E">
        <w:rPr>
          <w:szCs w:val="24"/>
        </w:rPr>
        <w:t xml:space="preserve">. </w:t>
      </w:r>
      <w:r w:rsidR="00DF0E72">
        <w:t>As the available data for the underground economy do not meet the requirements for time series analysis, the Denton (1971) interpolation procedure is employed to convert the annual data (including the underground economy, gross debt, domestic investment, access to electricity, and oil revenue) into quarterly figures. The robustness and advantages of this procedure are well documented in the literature (see David et al., 202</w:t>
      </w:r>
      <w:r w:rsidR="00070381">
        <w:t>4</w:t>
      </w:r>
      <w:r w:rsidR="00DF0E72">
        <w:t>, 202</w:t>
      </w:r>
      <w:r w:rsidR="00070381">
        <w:t>5</w:t>
      </w:r>
      <w:r w:rsidR="00DF0E72">
        <w:t>).</w:t>
      </w:r>
    </w:p>
    <w:p w14:paraId="38194AB9" w14:textId="34A7A432" w:rsidR="003F6D52" w:rsidRPr="006C520E" w:rsidRDefault="003F6D52" w:rsidP="003F6D52">
      <w:pPr>
        <w:rPr>
          <w:szCs w:val="24"/>
        </w:rPr>
      </w:pPr>
      <w:r w:rsidRPr="003F6D52">
        <w:rPr>
          <w:szCs w:val="24"/>
        </w:rPr>
        <w:t xml:space="preserve">The summary of the descriptive statistics and correlation analysis of the variables is presented in the upper and lower panels of Table 1, respectively. The results in Table 1 show that the mean value of real GDP (log-transformed) for the period 1990Q1-2022Q4 is 26.371 (US$315.88 billion), with values ranging from 25.725 (US$148.67 billion) to 27.012 (US$538.18 billion). Additionally, the average share of oil revenue relative to GDP during this period is 10.815 percent. The standard deviation indicates a significant variation in government revenue from oil sales, with </w:t>
      </w:r>
      <w:r>
        <w:rPr>
          <w:szCs w:val="24"/>
        </w:rPr>
        <w:t>the value</w:t>
      </w:r>
      <w:r w:rsidRPr="003F6D52">
        <w:rPr>
          <w:szCs w:val="24"/>
        </w:rPr>
        <w:t xml:space="preserve"> ranging from 2.323 percent </w:t>
      </w:r>
      <w:r w:rsidRPr="003F6D52">
        <w:rPr>
          <w:szCs w:val="24"/>
        </w:rPr>
        <w:lastRenderedPageBreak/>
        <w:t>to 24.075 percent of GDP.</w:t>
      </w:r>
      <w:r>
        <w:rPr>
          <w:szCs w:val="24"/>
        </w:rPr>
        <w:t xml:space="preserve"> </w:t>
      </w:r>
      <w:r w:rsidRPr="003F6D52">
        <w:rPr>
          <w:szCs w:val="24"/>
        </w:rPr>
        <w:t>Furthermore, the results reveal that the average size of the underground economy (relative to the official GDP) is substantial, at about 55.95 percent, with the lowest size during the period being 47.149 percent and the highest being 64.503 percent. Regarding the correlation analysis, the results indicate that oil wealth, the underground economy, public debt, fiscal balance, and headline consumer price inflation are negatively correlated with real GDP. In contrast, the correlation between real GDP and domestic investment, exchange rate, and access to electricity is positive and significant. The pairwise correlation between the variables of interest and the control variables is also presented</w:t>
      </w:r>
      <w:r w:rsidR="00F15CE2" w:rsidRPr="006C520E">
        <w:rPr>
          <w:rStyle w:val="FootnoteReference"/>
          <w:szCs w:val="24"/>
        </w:rPr>
        <w:footnoteReference w:id="2"/>
      </w:r>
      <w:r w:rsidRPr="003F6D52">
        <w:rPr>
          <w:szCs w:val="24"/>
        </w:rPr>
        <w:t>.</w:t>
      </w:r>
    </w:p>
    <w:p w14:paraId="570E96A7" w14:textId="25A17420" w:rsidR="00A44626" w:rsidRPr="006C520E" w:rsidRDefault="007F03B3" w:rsidP="008D4677">
      <w:pPr>
        <w:jc w:val="center"/>
        <w:rPr>
          <w:szCs w:val="24"/>
        </w:rPr>
      </w:pPr>
      <w:r w:rsidRPr="006C520E">
        <w:rPr>
          <w:szCs w:val="24"/>
        </w:rPr>
        <w:t>&lt;&lt;Table 1 goes here&gt;&gt;</w:t>
      </w:r>
    </w:p>
    <w:p w14:paraId="10092808" w14:textId="4D093A24" w:rsidR="00CC3038" w:rsidRPr="006C520E" w:rsidRDefault="004206D4" w:rsidP="00CC3038">
      <w:pPr>
        <w:pStyle w:val="Heading2"/>
        <w:rPr>
          <w:rFonts w:ascii="Garamond" w:hAnsi="Garamond"/>
          <w:bCs/>
          <w:i/>
          <w:iCs/>
          <w:color w:val="auto"/>
          <w:sz w:val="24"/>
          <w:szCs w:val="24"/>
        </w:rPr>
      </w:pPr>
      <w:r w:rsidRPr="006C520E">
        <w:rPr>
          <w:rFonts w:ascii="Garamond" w:hAnsi="Garamond"/>
          <w:bCs/>
          <w:i/>
          <w:iCs/>
          <w:color w:val="auto"/>
          <w:sz w:val="24"/>
          <w:szCs w:val="24"/>
        </w:rPr>
        <w:t>3</w:t>
      </w:r>
      <w:r w:rsidR="00CC3038" w:rsidRPr="006C520E">
        <w:rPr>
          <w:rFonts w:ascii="Garamond" w:hAnsi="Garamond"/>
          <w:bCs/>
          <w:i/>
          <w:iCs/>
          <w:color w:val="auto"/>
          <w:sz w:val="24"/>
          <w:szCs w:val="24"/>
        </w:rPr>
        <w:t>.</w:t>
      </w:r>
      <w:r w:rsidRPr="006C520E">
        <w:rPr>
          <w:rFonts w:ascii="Garamond" w:hAnsi="Garamond"/>
          <w:bCs/>
          <w:i/>
          <w:iCs/>
          <w:color w:val="auto"/>
          <w:sz w:val="24"/>
          <w:szCs w:val="24"/>
        </w:rPr>
        <w:t>4</w:t>
      </w:r>
      <w:r w:rsidR="00CC3038" w:rsidRPr="006C520E">
        <w:rPr>
          <w:rFonts w:ascii="Garamond" w:hAnsi="Garamond"/>
          <w:bCs/>
          <w:i/>
          <w:iCs/>
          <w:color w:val="auto"/>
          <w:sz w:val="24"/>
          <w:szCs w:val="24"/>
        </w:rPr>
        <w:t xml:space="preserve"> Estimation technique</w:t>
      </w:r>
    </w:p>
    <w:p w14:paraId="521620C4" w14:textId="247D8F03" w:rsidR="003B5F5F" w:rsidRPr="006C520E" w:rsidRDefault="00B220FA" w:rsidP="00601308">
      <w:pPr>
        <w:rPr>
          <w:szCs w:val="24"/>
        </w:rPr>
      </w:pPr>
      <w:r w:rsidRPr="006C520E">
        <w:rPr>
          <w:szCs w:val="24"/>
          <w:lang w:bidi="en-US"/>
        </w:rPr>
        <w:t>T</w:t>
      </w:r>
      <w:r w:rsidR="00601308" w:rsidRPr="006C520E">
        <w:rPr>
          <w:szCs w:val="24"/>
          <w:lang w:bidi="en-US"/>
        </w:rPr>
        <w:t>he</w:t>
      </w:r>
      <w:r w:rsidRPr="006C520E">
        <w:rPr>
          <w:szCs w:val="24"/>
          <w:lang w:bidi="en-US"/>
        </w:rPr>
        <w:t xml:space="preserve"> </w:t>
      </w:r>
      <w:r w:rsidR="00601308" w:rsidRPr="006C520E">
        <w:rPr>
          <w:szCs w:val="24"/>
          <w:lang w:bidi="en-US"/>
        </w:rPr>
        <w:t xml:space="preserve">bootstrap bounds-testing </w:t>
      </w:r>
      <w:r w:rsidR="0003500F" w:rsidRPr="006C520E">
        <w:rPr>
          <w:szCs w:val="24"/>
          <w:lang w:bidi="en-US"/>
        </w:rPr>
        <w:t xml:space="preserve">technique </w:t>
      </w:r>
      <w:r w:rsidR="006D7E19" w:rsidRPr="006C520E">
        <w:rPr>
          <w:szCs w:val="24"/>
          <w:lang w:bidi="en-US"/>
        </w:rPr>
        <w:t xml:space="preserve">of </w:t>
      </w:r>
      <w:r w:rsidR="00601308" w:rsidRPr="006C520E">
        <w:rPr>
          <w:szCs w:val="24"/>
          <w:lang w:bidi="en-US"/>
        </w:rPr>
        <w:t xml:space="preserve">McNown </w:t>
      </w:r>
      <w:r w:rsidR="00601308" w:rsidRPr="006C520E">
        <w:rPr>
          <w:i/>
          <w:iCs/>
          <w:szCs w:val="24"/>
          <w:lang w:bidi="en-US"/>
        </w:rPr>
        <w:t>et al</w:t>
      </w:r>
      <w:r w:rsidR="00601308" w:rsidRPr="006C520E">
        <w:rPr>
          <w:szCs w:val="24"/>
          <w:lang w:bidi="en-US"/>
        </w:rPr>
        <w:t>.</w:t>
      </w:r>
      <w:r w:rsidR="006D7E19" w:rsidRPr="006C520E">
        <w:rPr>
          <w:szCs w:val="24"/>
          <w:lang w:bidi="en-US"/>
        </w:rPr>
        <w:t xml:space="preserve"> (</w:t>
      </w:r>
      <w:r w:rsidR="00601308" w:rsidRPr="006C520E">
        <w:rPr>
          <w:szCs w:val="24"/>
          <w:lang w:bidi="en-US"/>
        </w:rPr>
        <w:t xml:space="preserve">2018) </w:t>
      </w:r>
      <w:r w:rsidRPr="006C520E">
        <w:rPr>
          <w:szCs w:val="24"/>
          <w:lang w:bidi="en-US"/>
        </w:rPr>
        <w:t xml:space="preserve">is </w:t>
      </w:r>
      <w:r w:rsidR="0003500F" w:rsidRPr="006C520E">
        <w:rPr>
          <w:szCs w:val="24"/>
          <w:lang w:bidi="en-US"/>
        </w:rPr>
        <w:t>adopted to estimate the relationship specified in Equation (1)</w:t>
      </w:r>
      <w:r w:rsidR="00BE39F0" w:rsidRPr="006C520E">
        <w:rPr>
          <w:szCs w:val="24"/>
          <w:lang w:bidi="en-US"/>
        </w:rPr>
        <w:t>.</w:t>
      </w:r>
      <w:r w:rsidRPr="006C520E">
        <w:rPr>
          <w:szCs w:val="24"/>
          <w:lang w:bidi="en-US"/>
        </w:rPr>
        <w:t xml:space="preserve"> </w:t>
      </w:r>
      <w:r w:rsidR="00601308" w:rsidRPr="006C520E">
        <w:rPr>
          <w:szCs w:val="24"/>
          <w:lang w:bidi="en-US"/>
        </w:rPr>
        <w:t xml:space="preserve">The </w:t>
      </w:r>
      <w:r w:rsidR="00BE39F0" w:rsidRPr="006C520E">
        <w:rPr>
          <w:szCs w:val="24"/>
          <w:lang w:bidi="en-US"/>
        </w:rPr>
        <w:t xml:space="preserve">technique, an extension of the </w:t>
      </w:r>
      <w:r w:rsidR="00601308" w:rsidRPr="006C520E">
        <w:rPr>
          <w:szCs w:val="24"/>
          <w:lang w:bidi="en-US"/>
        </w:rPr>
        <w:t xml:space="preserve">ARDL bounds-testing technique of </w:t>
      </w:r>
      <w:proofErr w:type="spellStart"/>
      <w:r w:rsidR="00601308" w:rsidRPr="006C520E">
        <w:rPr>
          <w:szCs w:val="24"/>
          <w:lang w:bidi="en-US"/>
        </w:rPr>
        <w:t>Pesaran</w:t>
      </w:r>
      <w:proofErr w:type="spellEnd"/>
      <w:r w:rsidR="00601308" w:rsidRPr="006C520E">
        <w:rPr>
          <w:szCs w:val="24"/>
          <w:lang w:bidi="en-US"/>
        </w:rPr>
        <w:t xml:space="preserve"> </w:t>
      </w:r>
      <w:r w:rsidR="00601308" w:rsidRPr="006C520E">
        <w:rPr>
          <w:i/>
          <w:iCs/>
          <w:szCs w:val="24"/>
          <w:lang w:bidi="en-US"/>
        </w:rPr>
        <w:t>et al</w:t>
      </w:r>
      <w:r w:rsidR="00601308" w:rsidRPr="006C520E">
        <w:rPr>
          <w:szCs w:val="24"/>
          <w:lang w:bidi="en-US"/>
        </w:rPr>
        <w:t>. (2001)</w:t>
      </w:r>
      <w:r w:rsidR="00BE39F0" w:rsidRPr="006C520E">
        <w:rPr>
          <w:szCs w:val="24"/>
          <w:lang w:bidi="en-US"/>
        </w:rPr>
        <w:t>, addresses</w:t>
      </w:r>
      <w:r w:rsidR="00601308" w:rsidRPr="006C520E">
        <w:rPr>
          <w:szCs w:val="24"/>
          <w:lang w:bidi="en-US"/>
        </w:rPr>
        <w:t xml:space="preserve"> the </w:t>
      </w:r>
      <w:r w:rsidR="00601308" w:rsidRPr="006C520E">
        <w:rPr>
          <w:szCs w:val="24"/>
        </w:rPr>
        <w:t xml:space="preserve">weak size and power properties </w:t>
      </w:r>
      <w:r w:rsidR="00BE39F0" w:rsidRPr="006C520E">
        <w:rPr>
          <w:szCs w:val="24"/>
        </w:rPr>
        <w:t xml:space="preserve">associated with </w:t>
      </w:r>
      <w:r w:rsidR="00601308" w:rsidRPr="006C520E">
        <w:rPr>
          <w:szCs w:val="24"/>
        </w:rPr>
        <w:t xml:space="preserve">the traditional bounds-testing </w:t>
      </w:r>
      <w:r w:rsidR="00BE39F0" w:rsidRPr="006C520E">
        <w:rPr>
          <w:szCs w:val="24"/>
        </w:rPr>
        <w:t>method</w:t>
      </w:r>
      <w:r w:rsidR="00EF07FF" w:rsidRPr="006C520E">
        <w:rPr>
          <w:szCs w:val="24"/>
        </w:rPr>
        <w:t xml:space="preserve"> </w:t>
      </w:r>
      <w:r w:rsidR="00601308" w:rsidRPr="006C520E">
        <w:rPr>
          <w:szCs w:val="24"/>
        </w:rPr>
        <w:t>(</w:t>
      </w:r>
      <w:r w:rsidR="00BE39F0" w:rsidRPr="006C520E">
        <w:rPr>
          <w:szCs w:val="24"/>
          <w:lang w:bidi="en-US"/>
        </w:rPr>
        <w:t xml:space="preserve">McNown </w:t>
      </w:r>
      <w:r w:rsidR="00BE39F0" w:rsidRPr="006C520E">
        <w:rPr>
          <w:i/>
          <w:iCs/>
          <w:szCs w:val="24"/>
          <w:lang w:bidi="en-US"/>
        </w:rPr>
        <w:t>et al</w:t>
      </w:r>
      <w:r w:rsidR="00BE39F0" w:rsidRPr="006C520E">
        <w:rPr>
          <w:szCs w:val="24"/>
          <w:lang w:bidi="en-US"/>
        </w:rPr>
        <w:t>., 2018</w:t>
      </w:r>
      <w:r w:rsidR="00601308" w:rsidRPr="006C520E">
        <w:rPr>
          <w:szCs w:val="24"/>
        </w:rPr>
        <w:t xml:space="preserve">). </w:t>
      </w:r>
      <w:r w:rsidR="00EF07FF" w:rsidRPr="006C520E">
        <w:rPr>
          <w:szCs w:val="24"/>
        </w:rPr>
        <w:t xml:space="preserve">This is achieved by introducing an additional cointegration test on the lagged level(s) of the independent variable(s) to complement the existing </w:t>
      </w:r>
      <w:r w:rsidR="00EF07FF" w:rsidRPr="006C520E">
        <w:rPr>
          <w:i/>
          <w:szCs w:val="24"/>
        </w:rPr>
        <w:t>F</w:t>
      </w:r>
      <w:r w:rsidR="00EF07FF" w:rsidRPr="006C520E">
        <w:rPr>
          <w:szCs w:val="24"/>
        </w:rPr>
        <w:t xml:space="preserve">- and </w:t>
      </w:r>
      <w:r w:rsidR="00EF07FF" w:rsidRPr="006C520E">
        <w:rPr>
          <w:i/>
          <w:szCs w:val="24"/>
        </w:rPr>
        <w:t>t</w:t>
      </w:r>
      <w:r w:rsidR="00EF07FF" w:rsidRPr="006C520E">
        <w:rPr>
          <w:szCs w:val="24"/>
        </w:rPr>
        <w:t xml:space="preserve">-tests of </w:t>
      </w:r>
      <w:proofErr w:type="spellStart"/>
      <w:r w:rsidR="00EF07FF" w:rsidRPr="006C520E">
        <w:rPr>
          <w:szCs w:val="24"/>
        </w:rPr>
        <w:t>Pesaran</w:t>
      </w:r>
      <w:proofErr w:type="spellEnd"/>
      <w:r w:rsidR="00EF07FF" w:rsidRPr="006C520E">
        <w:rPr>
          <w:szCs w:val="24"/>
        </w:rPr>
        <w:t xml:space="preserve"> </w:t>
      </w:r>
      <w:r w:rsidR="00EF07FF" w:rsidRPr="006C520E">
        <w:rPr>
          <w:i/>
          <w:iCs/>
          <w:szCs w:val="24"/>
        </w:rPr>
        <w:t>et al</w:t>
      </w:r>
      <w:r w:rsidR="00EF07FF" w:rsidRPr="006C520E">
        <w:rPr>
          <w:szCs w:val="24"/>
        </w:rPr>
        <w:t>. (2001).</w:t>
      </w:r>
      <w:r w:rsidR="003B5F5F" w:rsidRPr="006C520E">
        <w:rPr>
          <w:szCs w:val="24"/>
        </w:rPr>
        <w:t xml:space="preserve"> </w:t>
      </w:r>
      <w:r w:rsidR="00B230FD" w:rsidRPr="006C520E">
        <w:rPr>
          <w:szCs w:val="24"/>
        </w:rPr>
        <w:t>T</w:t>
      </w:r>
      <w:r w:rsidR="003B5F5F" w:rsidRPr="006C520E">
        <w:rPr>
          <w:szCs w:val="24"/>
        </w:rPr>
        <w:t>he</w:t>
      </w:r>
      <w:r w:rsidR="00B230FD" w:rsidRPr="006C520E">
        <w:rPr>
          <w:szCs w:val="24"/>
        </w:rPr>
        <w:t xml:space="preserve"> </w:t>
      </w:r>
      <w:r w:rsidR="00E27BE3" w:rsidRPr="006C520E">
        <w:rPr>
          <w:szCs w:val="24"/>
        </w:rPr>
        <w:t xml:space="preserve">introduction of </w:t>
      </w:r>
      <w:r w:rsidR="00601308" w:rsidRPr="006C520E">
        <w:rPr>
          <w:szCs w:val="24"/>
        </w:rPr>
        <w:t xml:space="preserve">bootstrap-generated critical values </w:t>
      </w:r>
      <w:r w:rsidR="004B2DE9" w:rsidRPr="006C520E">
        <w:rPr>
          <w:szCs w:val="24"/>
        </w:rPr>
        <w:t xml:space="preserve">also </w:t>
      </w:r>
      <w:r w:rsidR="00601308" w:rsidRPr="006C520E">
        <w:rPr>
          <w:szCs w:val="24"/>
        </w:rPr>
        <w:t>eliminate</w:t>
      </w:r>
      <w:r w:rsidR="00E27BE3" w:rsidRPr="006C520E">
        <w:rPr>
          <w:szCs w:val="24"/>
        </w:rPr>
        <w:t>s</w:t>
      </w:r>
      <w:r w:rsidR="00601308" w:rsidRPr="006C520E">
        <w:rPr>
          <w:szCs w:val="24"/>
        </w:rPr>
        <w:t xml:space="preserve"> </w:t>
      </w:r>
      <w:r w:rsidR="00E27BE3" w:rsidRPr="006C520E">
        <w:rPr>
          <w:szCs w:val="24"/>
        </w:rPr>
        <w:t xml:space="preserve">the problem of </w:t>
      </w:r>
      <w:r w:rsidR="00601308" w:rsidRPr="006C520E">
        <w:rPr>
          <w:szCs w:val="24"/>
        </w:rPr>
        <w:t>inconclusive inferences that characteri</w:t>
      </w:r>
      <w:r w:rsidR="00E27BE3" w:rsidRPr="006C520E">
        <w:rPr>
          <w:szCs w:val="24"/>
        </w:rPr>
        <w:t>s</w:t>
      </w:r>
      <w:r w:rsidR="00601308" w:rsidRPr="006C520E">
        <w:rPr>
          <w:szCs w:val="24"/>
        </w:rPr>
        <w:t>ed the traditional ARDL procedure</w:t>
      </w:r>
      <w:r w:rsidR="00AF13FA">
        <w:rPr>
          <w:szCs w:val="24"/>
        </w:rPr>
        <w:t xml:space="preserve"> (Gamal et al., 2024)</w:t>
      </w:r>
      <w:r w:rsidR="00601308" w:rsidRPr="006C520E">
        <w:rPr>
          <w:szCs w:val="24"/>
        </w:rPr>
        <w:t>.</w:t>
      </w:r>
    </w:p>
    <w:p w14:paraId="01ACD806" w14:textId="73F6BDAF" w:rsidR="00601308" w:rsidRPr="006C520E" w:rsidRDefault="00601308" w:rsidP="00601308">
      <w:pPr>
        <w:rPr>
          <w:szCs w:val="24"/>
        </w:rPr>
      </w:pPr>
      <w:r w:rsidRPr="006C520E">
        <w:rPr>
          <w:szCs w:val="24"/>
        </w:rPr>
        <w:t xml:space="preserve">Generally, a bivariate </w:t>
      </w:r>
      <w:proofErr w:type="gramStart"/>
      <w:r w:rsidRPr="006C520E">
        <w:rPr>
          <w:szCs w:val="24"/>
        </w:rPr>
        <w:t>ARDL</w:t>
      </w:r>
      <w:r w:rsidR="0091011B" w:rsidRPr="006C520E">
        <w:rPr>
          <w:szCs w:val="24"/>
        </w:rPr>
        <w:t>(</w:t>
      </w:r>
      <w:proofErr w:type="gramEnd"/>
      <m:oMath>
        <m:r>
          <w:rPr>
            <w:rFonts w:ascii="Cambria Math" w:hAnsi="Cambria Math"/>
            <w:szCs w:val="24"/>
            <w:lang w:bidi="en-US"/>
          </w:rPr>
          <m:t>p,q</m:t>
        </m:r>
      </m:oMath>
      <w:r w:rsidR="0091011B" w:rsidRPr="006C520E">
        <w:rPr>
          <w:szCs w:val="24"/>
        </w:rPr>
        <w:t>)</w:t>
      </w:r>
      <w:r w:rsidRPr="006C520E">
        <w:rPr>
          <w:szCs w:val="24"/>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8561"/>
        <w:gridCol w:w="541"/>
      </w:tblGrid>
      <w:tr w:rsidR="00601308" w:rsidRPr="006C520E" w14:paraId="0F25FE65" w14:textId="77777777" w:rsidTr="005F2548">
        <w:trPr>
          <w:trHeight w:val="900"/>
        </w:trPr>
        <w:tc>
          <w:tcPr>
            <w:tcW w:w="138" w:type="pct"/>
          </w:tcPr>
          <w:p w14:paraId="5EE80C8F" w14:textId="77777777" w:rsidR="00601308" w:rsidRPr="006C520E" w:rsidRDefault="00601308" w:rsidP="005F2548">
            <w:pPr>
              <w:rPr>
                <w:szCs w:val="24"/>
              </w:rPr>
            </w:pPr>
          </w:p>
        </w:tc>
        <w:tc>
          <w:tcPr>
            <w:tcW w:w="4573" w:type="pct"/>
            <w:hideMark/>
          </w:tcPr>
          <w:p w14:paraId="0736B481" w14:textId="25DD3F5E" w:rsidR="00601308" w:rsidRPr="006C520E" w:rsidRDefault="00000000" w:rsidP="005F2548">
            <w:pPr>
              <w:rPr>
                <w:i/>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=a</m:t>
                </m:r>
                <m:r>
                  <m:rPr>
                    <m:sty m:val="p"/>
                  </m:rP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p</m:t>
                    </m:r>
                  </m:sup>
                  <m:e>
                    <m:sSubSup>
                      <m:sSubSupPr>
                        <m:ctrlPr>
                          <w:rPr>
                            <w:rFonts w:ascii="Cambria Math" w:hAnsi="Cambria Math"/>
                            <w:i/>
                            <w:szCs w:val="24"/>
                            <w:lang w:bidi="en-US"/>
                          </w:rPr>
                        </m:ctrlPr>
                      </m:sSubSupPr>
                      <m:e>
                        <m:r>
                          <w:rPr>
                            <w:rFonts w:ascii="Cambria Math" w:hAnsi="Cambria Math"/>
                            <w:szCs w:val="24"/>
                            <w:lang w:bidi="en-US"/>
                          </w:rPr>
                          <m:t>ω</m:t>
                        </m:r>
                      </m:e>
                      <m:sub>
                        <m:r>
                          <w:rPr>
                            <w:rFonts w:ascii="Cambria Math" w:hAnsi="Cambria Math"/>
                            <w:szCs w:val="24"/>
                          </w:rPr>
                          <m:t>i</m:t>
                        </m:r>
                        <m:ctrlPr>
                          <w:rPr>
                            <w:rFonts w:ascii="Cambria Math" w:hAnsi="Cambria Math"/>
                            <w:i/>
                            <w:szCs w:val="24"/>
                          </w:rPr>
                        </m:ctrlPr>
                      </m:sub>
                      <m:sup>
                        <m:r>
                          <w:rPr>
                            <w:rFonts w:ascii="Cambria Math" w:hAnsi="Cambria Math"/>
                            <w:szCs w:val="24"/>
                            <w:lang w:bidi="en-US"/>
                          </w:rPr>
                          <m:t>'</m:t>
                        </m:r>
                      </m:sup>
                    </m:sSubSup>
                    <m:sSub>
                      <m:sSubPr>
                        <m:ctrlPr>
                          <w:rPr>
                            <w:rFonts w:ascii="Cambria Math" w:hAnsi="Cambria Math"/>
                            <w:i/>
                            <w:szCs w:val="24"/>
                          </w:rPr>
                        </m:ctrlPr>
                      </m:sSubPr>
                      <m:e>
                        <m:r>
                          <w:rPr>
                            <w:rFonts w:ascii="Cambria Math" w:hAnsi="Cambria Math"/>
                            <w:szCs w:val="24"/>
                          </w:rPr>
                          <m:t>h</m:t>
                        </m:r>
                      </m:e>
                      <m:sub>
                        <m:r>
                          <w:rPr>
                            <w:rFonts w:ascii="Cambria Math" w:hAnsi="Cambria Math"/>
                            <w:szCs w:val="24"/>
                          </w:rPr>
                          <m:t>t-i</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q</m:t>
                    </m:r>
                  </m:sup>
                  <m:e>
                    <m:sSubSup>
                      <m:sSubSupPr>
                        <m:ctrlPr>
                          <w:rPr>
                            <w:rFonts w:ascii="Cambria Math" w:hAnsi="Cambria Math"/>
                            <w:i/>
                            <w:szCs w:val="24"/>
                            <w:lang w:bidi="en-US"/>
                          </w:rPr>
                        </m:ctrlPr>
                      </m:sSubSupPr>
                      <m:e>
                        <m:r>
                          <w:rPr>
                            <w:rFonts w:ascii="Cambria Math" w:hAnsi="Cambria Math"/>
                            <w:szCs w:val="24"/>
                          </w:rPr>
                          <m:t>η</m:t>
                        </m:r>
                      </m:e>
                      <m:sub>
                        <m:r>
                          <w:rPr>
                            <w:rFonts w:ascii="Cambria Math" w:hAnsi="Cambria Math"/>
                            <w:szCs w:val="24"/>
                            <w:lang w:bidi="en-US"/>
                          </w:rPr>
                          <m:t>j</m:t>
                        </m:r>
                        <m:ctrlPr>
                          <w:rPr>
                            <w:rFonts w:ascii="Cambria Math" w:hAnsi="Cambria Math"/>
                            <w:i/>
                            <w:szCs w:val="24"/>
                          </w:rPr>
                        </m:ctrlPr>
                      </m:sub>
                      <m:sup>
                        <m:r>
                          <w:rPr>
                            <w:rFonts w:ascii="Cambria Math" w:hAnsi="Cambria Math"/>
                            <w:szCs w:val="24"/>
                            <w:lang w:bidi="en-US"/>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t-i</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m:oMathPara>
          </w:p>
        </w:tc>
        <w:tc>
          <w:tcPr>
            <w:tcW w:w="289" w:type="pct"/>
            <w:vAlign w:val="center"/>
            <w:hideMark/>
          </w:tcPr>
          <w:p w14:paraId="58B76837" w14:textId="3E8CDCC1" w:rsidR="00601308" w:rsidRPr="006C520E" w:rsidRDefault="00601308" w:rsidP="005F2548">
            <w:pPr>
              <w:jc w:val="center"/>
              <w:rPr>
                <w:szCs w:val="24"/>
              </w:rPr>
            </w:pPr>
            <w:r w:rsidRPr="006C520E">
              <w:rPr>
                <w:szCs w:val="24"/>
              </w:rPr>
              <w:t>(</w:t>
            </w:r>
            <w:r w:rsidR="0066167E" w:rsidRPr="006C520E">
              <w:rPr>
                <w:szCs w:val="24"/>
              </w:rPr>
              <w:t>3</w:t>
            </w:r>
            <w:r w:rsidRPr="006C520E">
              <w:rPr>
                <w:szCs w:val="24"/>
              </w:rPr>
              <w:t>)</w:t>
            </w:r>
          </w:p>
        </w:tc>
      </w:tr>
    </w:tbl>
    <w:p w14:paraId="4E3D75D2" w14:textId="5C94A3E0" w:rsidR="002E1ED0" w:rsidRPr="006C520E" w:rsidRDefault="00601308" w:rsidP="00601308">
      <w:pPr>
        <w:spacing w:before="120"/>
        <w:rPr>
          <w:szCs w:val="24"/>
        </w:rPr>
      </w:pPr>
      <w:r w:rsidRPr="006C520E">
        <w:rPr>
          <w:szCs w:val="24"/>
        </w:rPr>
        <w:t>where</w:t>
      </w:r>
      <w:r w:rsidR="00B23A29" w:rsidRPr="006C520E">
        <w:rPr>
          <w:szCs w:val="24"/>
        </w:rPr>
        <w:t xml:space="preserve"> </w:t>
      </w:r>
      <m:oMath>
        <m:r>
          <w:rPr>
            <w:rFonts w:ascii="Cambria Math" w:hAnsi="Cambria Math"/>
            <w:szCs w:val="24"/>
          </w:rPr>
          <m:t>a</m:t>
        </m:r>
      </m:oMath>
      <w:r w:rsidR="002E1ED0" w:rsidRPr="006C520E">
        <w:rPr>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w:r w:rsidR="002E1ED0" w:rsidRPr="006C520E">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6C520E">
        <w:rPr>
          <w:rFonts w:eastAsiaTheme="minorEastAsia"/>
          <w:szCs w:val="24"/>
        </w:rPr>
        <w:t xml:space="preserve"> </w:t>
      </w:r>
      <w:r w:rsidR="002E1ED0" w:rsidRPr="006C520E">
        <w:rPr>
          <w:rFonts w:eastAsiaTheme="minorEastAsia"/>
          <w:szCs w:val="24"/>
        </w:rPr>
        <w:t xml:space="preserve">represent the constant, response and </w:t>
      </w:r>
      <w:r w:rsidR="00B23A29" w:rsidRPr="006C520E">
        <w:rPr>
          <w:rFonts w:eastAsiaTheme="minorEastAsia"/>
          <w:szCs w:val="24"/>
        </w:rPr>
        <w:t xml:space="preserve">explanatory </w:t>
      </w:r>
      <w:r w:rsidRPr="006C520E">
        <w:rPr>
          <w:rFonts w:eastAsiaTheme="minorEastAsia"/>
          <w:szCs w:val="24"/>
        </w:rPr>
        <w:t>variable</w:t>
      </w:r>
      <w:r w:rsidR="002E1ED0" w:rsidRPr="006C520E">
        <w:rPr>
          <w:rFonts w:eastAsiaTheme="minorEastAsia"/>
          <w:szCs w:val="24"/>
        </w:rPr>
        <w:t>, respectively</w:t>
      </w:r>
      <w:r w:rsidRPr="006C520E">
        <w:rPr>
          <w:rFonts w:eastAsiaTheme="minorEastAsia"/>
          <w:szCs w:val="24"/>
        </w:rPr>
        <w:t xml:space="preserve">. </w:t>
      </w:r>
      <m:oMath>
        <m:sSub>
          <m:sSubPr>
            <m:ctrlPr>
              <w:rPr>
                <w:rFonts w:ascii="Cambria Math" w:hAnsi="Cambria Math"/>
                <w:i/>
                <w:szCs w:val="24"/>
                <w:lang w:bidi="en-US"/>
              </w:rPr>
            </m:ctrlPr>
          </m:sSubPr>
          <m:e>
            <m:r>
              <w:rPr>
                <w:rFonts w:ascii="Cambria Math" w:hAnsi="Cambria Math"/>
                <w:szCs w:val="24"/>
                <w:lang w:bidi="en-US"/>
              </w:rPr>
              <m:t>ω</m:t>
            </m:r>
          </m:e>
          <m:sub>
            <m:r>
              <w:rPr>
                <w:rFonts w:ascii="Cambria Math" w:hAnsi="Cambria Math"/>
                <w:szCs w:val="24"/>
                <w:lang w:bidi="en-US"/>
              </w:rPr>
              <m:t>i</m:t>
            </m:r>
          </m:sub>
        </m:sSub>
      </m:oMath>
      <w:r w:rsidRPr="006C520E">
        <w:rPr>
          <w:rFonts w:eastAsiaTheme="minorEastAsia"/>
          <w:szCs w:val="24"/>
          <w:lang w:bidi="en-US"/>
        </w:rPr>
        <w:t xml:space="preserve"> and </w:t>
      </w:r>
      <m:oMath>
        <m:sSub>
          <m:sSubPr>
            <m:ctrlPr>
              <w:rPr>
                <w:rFonts w:ascii="Cambria Math" w:hAnsi="Cambria Math"/>
                <w:i/>
                <w:szCs w:val="24"/>
                <w:lang w:bidi="en-US"/>
              </w:rPr>
            </m:ctrlPr>
          </m:sSubPr>
          <m:e>
            <m:r>
              <w:rPr>
                <w:rFonts w:ascii="Cambria Math" w:hAnsi="Cambria Math"/>
                <w:szCs w:val="24"/>
              </w:rPr>
              <m:t>η</m:t>
            </m:r>
          </m:e>
          <m:sub>
            <m:r>
              <w:rPr>
                <w:rFonts w:ascii="Cambria Math" w:hAnsi="Cambria Math"/>
                <w:szCs w:val="24"/>
                <w:lang w:bidi="en-US"/>
              </w:rPr>
              <m:t>i</m:t>
            </m:r>
          </m:sub>
        </m:sSub>
      </m:oMath>
      <w:r w:rsidRPr="006C520E">
        <w:rPr>
          <w:rFonts w:eastAsiaTheme="minorEastAsia"/>
          <w:szCs w:val="24"/>
          <w:lang w:bidi="en-US"/>
        </w:rPr>
        <w:t xml:space="preserve"> </w:t>
      </w:r>
      <w:r w:rsidRPr="006C520E">
        <w:rPr>
          <w:rFonts w:eastAsiaTheme="minorEastAsia"/>
          <w:szCs w:val="24"/>
        </w:rPr>
        <w:t xml:space="preserve">are the coefficient of the lags of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w:r w:rsidRPr="006C520E">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6C520E">
        <w:rPr>
          <w:rFonts w:eastAsiaTheme="minorEastAsia"/>
          <w:szCs w:val="24"/>
        </w:rPr>
        <w:t>, respectively</w:t>
      </w:r>
      <w:r w:rsidR="002E1ED0" w:rsidRPr="006C520E">
        <w:rPr>
          <w:rFonts w:eastAsiaTheme="minorEastAsia"/>
          <w:szCs w:val="24"/>
        </w:rPr>
        <w:t>, and</w:t>
      </w:r>
      <w:r w:rsidRPr="006C520E">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Pr="006C520E">
        <w:rPr>
          <w:rFonts w:eastAsiaTheme="minorEastAsia"/>
          <w:szCs w:val="24"/>
        </w:rPr>
        <w:t xml:space="preserve"> is the </w:t>
      </w:r>
      <w:r w:rsidRPr="006C520E">
        <w:rPr>
          <w:szCs w:val="24"/>
        </w:rPr>
        <w:t>error term.</w:t>
      </w:r>
      <w:r w:rsidR="002E1ED0" w:rsidRPr="006C520E">
        <w:rPr>
          <w:szCs w:val="24"/>
        </w:rPr>
        <w:t xml:space="preserve"> Lastly, </w:t>
      </w:r>
      <m:oMath>
        <m:r>
          <w:rPr>
            <w:rFonts w:ascii="Cambria Math" w:hAnsi="Cambria Math"/>
            <w:szCs w:val="24"/>
          </w:rPr>
          <m:t>i</m:t>
        </m:r>
      </m:oMath>
      <w:r w:rsidR="002E1ED0" w:rsidRPr="006C520E">
        <w:rPr>
          <w:rFonts w:eastAsiaTheme="minorEastAsia"/>
          <w:szCs w:val="24"/>
        </w:rPr>
        <w:t xml:space="preserve"> and </w:t>
      </w:r>
      <m:oMath>
        <m:r>
          <w:rPr>
            <w:rFonts w:ascii="Cambria Math" w:eastAsiaTheme="minorEastAsia" w:hAnsi="Cambria Math"/>
            <w:szCs w:val="24"/>
          </w:rPr>
          <m:t>j</m:t>
        </m:r>
      </m:oMath>
      <w:r w:rsidR="002E1ED0" w:rsidRPr="006C520E">
        <w:rPr>
          <w:rFonts w:eastAsiaTheme="minorEastAsia"/>
          <w:szCs w:val="24"/>
        </w:rPr>
        <w:t xml:space="preserve"> are the index of lags, </w:t>
      </w:r>
      <m:oMath>
        <m:r>
          <w:rPr>
            <w:rFonts w:ascii="Cambria Math" w:hAnsi="Cambria Math"/>
            <w:szCs w:val="24"/>
          </w:rPr>
          <m:t>i</m:t>
        </m:r>
        <m:r>
          <w:rPr>
            <w:rFonts w:ascii="Cambria Math" w:eastAsiaTheme="minorEastAsia" w:hAnsi="Cambria Math"/>
            <w:szCs w:val="24"/>
          </w:rPr>
          <m:t>=1,2,…, p</m:t>
        </m:r>
      </m:oMath>
      <w:r w:rsidR="002E1ED0" w:rsidRPr="006C520E">
        <w:rPr>
          <w:rFonts w:eastAsiaTheme="minorEastAsia"/>
          <w:szCs w:val="24"/>
        </w:rPr>
        <w:t xml:space="preserve">; </w:t>
      </w:r>
      <m:oMath>
        <m:r>
          <w:rPr>
            <w:rFonts w:ascii="Cambria Math" w:hAnsi="Cambria Math"/>
            <w:szCs w:val="24"/>
          </w:rPr>
          <m:t>j</m:t>
        </m:r>
        <m:r>
          <w:rPr>
            <w:rFonts w:ascii="Cambria Math" w:eastAsiaTheme="minorEastAsia" w:hAnsi="Cambria Math"/>
            <w:szCs w:val="24"/>
          </w:rPr>
          <m:t>=0,1,2,…, q</m:t>
        </m:r>
      </m:oMath>
      <w:r w:rsidR="002E1ED0" w:rsidRPr="006C520E">
        <w:rPr>
          <w:rFonts w:eastAsiaTheme="minorEastAsia"/>
          <w:szCs w:val="24"/>
        </w:rPr>
        <w:t xml:space="preserve">. </w:t>
      </w:r>
      <m:oMath>
        <m:r>
          <w:rPr>
            <w:rFonts w:ascii="Cambria Math" w:hAnsi="Cambria Math"/>
            <w:szCs w:val="24"/>
          </w:rPr>
          <m:t>t=1,2…,T</m:t>
        </m:r>
      </m:oMath>
      <w:r w:rsidR="002E1ED0" w:rsidRPr="006C520E">
        <w:rPr>
          <w:rFonts w:eastAsiaTheme="minorEastAsia"/>
          <w:szCs w:val="24"/>
        </w:rPr>
        <w:t xml:space="preserve"> is time.</w:t>
      </w:r>
    </w:p>
    <w:p w14:paraId="08B61627" w14:textId="0BDCE6ED" w:rsidR="00601308" w:rsidRPr="006C520E" w:rsidRDefault="00A75B44" w:rsidP="00601308">
      <w:pPr>
        <w:spacing w:before="120"/>
        <w:rPr>
          <w:szCs w:val="24"/>
        </w:rPr>
      </w:pPr>
      <w:r w:rsidRPr="006C520E">
        <w:rPr>
          <w:szCs w:val="24"/>
        </w:rPr>
        <w:t>We r</w:t>
      </w:r>
      <w:r w:rsidR="00601308" w:rsidRPr="006C520E">
        <w:rPr>
          <w:szCs w:val="24"/>
        </w:rPr>
        <w:t>e-parameteri</w:t>
      </w:r>
      <w:r w:rsidR="00EB5BCA" w:rsidRPr="006C520E">
        <w:rPr>
          <w:szCs w:val="24"/>
        </w:rPr>
        <w:t>s</w:t>
      </w:r>
      <w:r w:rsidRPr="006C520E">
        <w:rPr>
          <w:szCs w:val="24"/>
        </w:rPr>
        <w:t>e</w:t>
      </w:r>
      <w:r w:rsidR="00601308" w:rsidRPr="006C520E">
        <w:rPr>
          <w:szCs w:val="24"/>
        </w:rPr>
        <w:t xml:space="preserve"> and express </w:t>
      </w:r>
      <w:r w:rsidRPr="006C520E">
        <w:rPr>
          <w:szCs w:val="24"/>
        </w:rPr>
        <w:t xml:space="preserve">Equation (3) </w:t>
      </w:r>
      <w:r w:rsidR="00601308" w:rsidRPr="006C520E">
        <w:rPr>
          <w:szCs w:val="24"/>
        </w:rPr>
        <w:t>in an error correction representation</w:t>
      </w:r>
      <w:r w:rsidR="00EB5BCA" w:rsidRPr="006C520E">
        <w:rPr>
          <w:szCs w:val="24"/>
        </w:rPr>
        <w:t xml:space="preserve"> as</w:t>
      </w:r>
      <w:r w:rsidRPr="006C520E">
        <w:rPr>
          <w:szCs w:val="24"/>
        </w:rPr>
        <w:t xml:space="preserve"> follows</w:t>
      </w:r>
      <w:r w:rsidR="00601308" w:rsidRPr="006C520E">
        <w:rPr>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8561"/>
        <w:gridCol w:w="541"/>
      </w:tblGrid>
      <w:tr w:rsidR="00601308" w:rsidRPr="006C520E" w14:paraId="358CC2C6" w14:textId="77777777" w:rsidTr="005F2548">
        <w:trPr>
          <w:trHeight w:val="900"/>
        </w:trPr>
        <w:tc>
          <w:tcPr>
            <w:tcW w:w="138" w:type="pct"/>
          </w:tcPr>
          <w:p w14:paraId="4C7C7D6E" w14:textId="77777777" w:rsidR="00601308" w:rsidRPr="006C520E" w:rsidRDefault="00601308" w:rsidP="005F2548">
            <w:pPr>
              <w:rPr>
                <w:szCs w:val="24"/>
              </w:rPr>
            </w:pPr>
          </w:p>
        </w:tc>
        <w:tc>
          <w:tcPr>
            <w:tcW w:w="4573" w:type="pct"/>
            <w:hideMark/>
          </w:tcPr>
          <w:p w14:paraId="5EE4C5B1" w14:textId="03F1A524" w:rsidR="00601308" w:rsidRPr="006C520E" w:rsidRDefault="00601308" w:rsidP="005F2548">
            <w:pPr>
              <w:rPr>
                <w:i/>
                <w:szCs w:val="24"/>
              </w:rPr>
            </w:pPr>
            <m:oMathPara>
              <m:oMath>
                <m:r>
                  <m:rPr>
                    <m:sty m:val="p"/>
                  </m:rPr>
                  <w:rPr>
                    <w:rFonts w:ascii="Cambria Math" w:eastAsiaTheme="minorEastAsia" w:hAnsi="Cambria Math"/>
                    <w:szCs w:val="24"/>
                  </w:rPr>
                  <m:t>Δ</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=a+</m:t>
                </m:r>
                <m:sSup>
                  <m:sSupPr>
                    <m:ctrlPr>
                      <w:rPr>
                        <w:rFonts w:ascii="Cambria Math" w:hAnsi="Cambria Math"/>
                        <w:i/>
                        <w:szCs w:val="24"/>
                      </w:rPr>
                    </m:ctrlPr>
                  </m:sSupPr>
                  <m:e>
                    <m:r>
                      <w:rPr>
                        <w:rFonts w:ascii="Cambria Math" w:hAnsi="Cambria Math"/>
                        <w:szCs w:val="24"/>
                      </w:rPr>
                      <m:t>ρ</m:t>
                    </m:r>
                  </m:e>
                  <m:sup>
                    <m:r>
                      <w:rPr>
                        <w:rFonts w:ascii="Cambria Math" w:hAnsi="Cambria Math"/>
                        <w:szCs w:val="24"/>
                      </w:rPr>
                      <m:t>'</m:t>
                    </m:r>
                  </m:sup>
                </m:sSup>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p>
                  <m:sSupPr>
                    <m:ctrlPr>
                      <w:rPr>
                        <w:rFonts w:ascii="Cambria Math" w:hAnsi="Cambria Math"/>
                        <w:i/>
                        <w:szCs w:val="24"/>
                      </w:rPr>
                    </m:ctrlPr>
                  </m:sSupPr>
                  <m:e>
                    <m:r>
                      <w:rPr>
                        <w:rFonts w:ascii="Cambria Math" w:hAnsi="Cambria Math"/>
                        <w:szCs w:val="24"/>
                        <w:lang w:bidi="en-US"/>
                      </w:rPr>
                      <m:t>λ</m:t>
                    </m:r>
                  </m:e>
                  <m:sup>
                    <m:r>
                      <w:rPr>
                        <w:rFonts w:ascii="Cambria Math" w:hAnsi="Cambria Math"/>
                        <w:szCs w:val="24"/>
                      </w:rPr>
                      <m: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t-1</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p-1</m:t>
                    </m:r>
                  </m:sup>
                  <m:e>
                    <m:sSubSup>
                      <m:sSubSupPr>
                        <m:ctrlPr>
                          <w:rPr>
                            <w:rFonts w:ascii="Cambria Math" w:hAnsi="Cambria Math"/>
                            <w:i/>
                            <w:szCs w:val="24"/>
                            <w:lang w:bidi="en-US"/>
                          </w:rPr>
                        </m:ctrlPr>
                      </m:sSubSupPr>
                      <m:e>
                        <m:r>
                          <w:rPr>
                            <w:rFonts w:ascii="Cambria Math" w:hAnsi="Cambria Math"/>
                            <w:szCs w:val="24"/>
                          </w:rPr>
                          <m:t>ϕ</m:t>
                        </m:r>
                      </m:e>
                      <m:sub>
                        <m:r>
                          <w:rPr>
                            <w:rFonts w:ascii="Cambria Math" w:hAnsi="Cambria Math"/>
                            <w:szCs w:val="24"/>
                          </w:rPr>
                          <m:t>i</m:t>
                        </m:r>
                        <m:ctrlPr>
                          <w:rPr>
                            <w:rFonts w:ascii="Cambria Math" w:hAnsi="Cambria Math"/>
                            <w:i/>
                            <w:szCs w:val="24"/>
                          </w:rPr>
                        </m:ctrlPr>
                      </m:sub>
                      <m:sup>
                        <m:r>
                          <w:rPr>
                            <w:rFonts w:ascii="Cambria Math" w:hAnsi="Cambria Math"/>
                            <w:szCs w:val="24"/>
                            <w:lang w:bidi="en-US"/>
                          </w:rPr>
                          <m:t>'</m:t>
                        </m:r>
                      </m:sup>
                    </m:sSubSup>
                    <m:r>
                      <m:rPr>
                        <m:sty m:val="p"/>
                      </m:rPr>
                      <w:rPr>
                        <w:rFonts w:ascii="Cambria Math" w:hAnsi="Cambria Math"/>
                        <w:szCs w:val="24"/>
                        <w:lang w:bidi="en-US"/>
                      </w:rPr>
                      <m:t>Δ</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t-i</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q-1</m:t>
                    </m:r>
                  </m:sup>
                  <m:e>
                    <m:sSubSup>
                      <m:sSubSupPr>
                        <m:ctrlPr>
                          <w:rPr>
                            <w:rFonts w:ascii="Cambria Math" w:hAnsi="Cambria Math"/>
                            <w:i/>
                            <w:szCs w:val="24"/>
                            <w:lang w:bidi="en-US"/>
                          </w:rPr>
                        </m:ctrlPr>
                      </m:sSubSupPr>
                      <m:e>
                        <m:r>
                          <w:rPr>
                            <w:rFonts w:ascii="Cambria Math" w:hAnsi="Cambria Math"/>
                            <w:szCs w:val="24"/>
                          </w:rPr>
                          <m:t>γ</m:t>
                        </m:r>
                      </m:e>
                      <m:sub>
                        <m:r>
                          <w:rPr>
                            <w:rFonts w:ascii="Cambria Math" w:hAnsi="Cambria Math"/>
                            <w:szCs w:val="24"/>
                            <w:lang w:bidi="en-US"/>
                          </w:rPr>
                          <m:t>j</m:t>
                        </m:r>
                        <m:ctrlPr>
                          <w:rPr>
                            <w:rFonts w:ascii="Cambria Math" w:hAnsi="Cambria Math"/>
                            <w:i/>
                            <w:szCs w:val="24"/>
                          </w:rPr>
                        </m:ctrlPr>
                      </m:sub>
                      <m:sup>
                        <m:r>
                          <w:rPr>
                            <w:rFonts w:ascii="Cambria Math" w:hAnsi="Cambria Math"/>
                            <w:szCs w:val="24"/>
                            <w:lang w:bidi="en-US"/>
                          </w:rPr>
                          <m:t>'</m:t>
                        </m:r>
                      </m:sup>
                    </m:sSubSup>
                    <m:r>
                      <m:rPr>
                        <m:sty m:val="p"/>
                      </m:rPr>
                      <w:rPr>
                        <w:rFonts w:ascii="Cambria Math" w:hAnsi="Cambria Math"/>
                        <w:szCs w:val="24"/>
                        <w:lang w:bidi="en-US"/>
                      </w:rPr>
                      <m:t>Δ</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t-i</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m:oMathPara>
          </w:p>
        </w:tc>
        <w:tc>
          <w:tcPr>
            <w:tcW w:w="289" w:type="pct"/>
            <w:vAlign w:val="center"/>
            <w:hideMark/>
          </w:tcPr>
          <w:p w14:paraId="09810440" w14:textId="33A3D5D2" w:rsidR="00601308" w:rsidRPr="006C520E" w:rsidRDefault="00601308" w:rsidP="005F2548">
            <w:pPr>
              <w:jc w:val="center"/>
              <w:rPr>
                <w:szCs w:val="24"/>
              </w:rPr>
            </w:pPr>
            <w:r w:rsidRPr="006C520E">
              <w:rPr>
                <w:szCs w:val="24"/>
              </w:rPr>
              <w:t>(</w:t>
            </w:r>
            <w:r w:rsidR="00B3692F" w:rsidRPr="006C520E">
              <w:rPr>
                <w:szCs w:val="24"/>
              </w:rPr>
              <w:t>4</w:t>
            </w:r>
            <w:r w:rsidRPr="006C520E">
              <w:rPr>
                <w:szCs w:val="24"/>
              </w:rPr>
              <w:t>)</w:t>
            </w:r>
          </w:p>
        </w:tc>
      </w:tr>
    </w:tbl>
    <w:p w14:paraId="303757D5" w14:textId="6808EA0E" w:rsidR="000B2A47" w:rsidRPr="006C520E" w:rsidRDefault="00601308" w:rsidP="00601308">
      <w:pPr>
        <w:spacing w:before="120"/>
        <w:rPr>
          <w:rFonts w:eastAsiaTheme="minorEastAsia"/>
          <w:szCs w:val="24"/>
        </w:rPr>
      </w:pPr>
      <w:r w:rsidRPr="006C520E">
        <w:rPr>
          <w:szCs w:val="24"/>
        </w:rPr>
        <w:t>where</w:t>
      </w:r>
      <m:oMath>
        <m:r>
          <w:rPr>
            <w:rFonts w:ascii="Cambria Math" w:hAnsi="Cambria Math"/>
            <w:szCs w:val="24"/>
          </w:rPr>
          <m:t xml:space="preserve"> </m:t>
        </m:r>
        <m:r>
          <m:rPr>
            <m:sty m:val="p"/>
          </m:rPr>
          <w:rPr>
            <w:rFonts w:ascii="Cambria Math" w:hAnsi="Cambria Math"/>
            <w:szCs w:val="24"/>
          </w:rPr>
          <m:t>∆</m:t>
        </m:r>
      </m:oMath>
      <w:r w:rsidRPr="006C520E">
        <w:rPr>
          <w:rFonts w:eastAsiaTheme="minorEastAsia"/>
          <w:szCs w:val="24"/>
        </w:rPr>
        <w:t xml:space="preserve"> </w:t>
      </w:r>
      <w:r w:rsidR="000B2A47" w:rsidRPr="006C520E">
        <w:rPr>
          <w:rFonts w:eastAsiaTheme="minorEastAsia"/>
          <w:szCs w:val="24"/>
        </w:rPr>
        <w:t xml:space="preserve">is </w:t>
      </w:r>
      <w:r w:rsidRPr="006C520E">
        <w:rPr>
          <w:rFonts w:eastAsiaTheme="minorEastAsia"/>
          <w:szCs w:val="24"/>
        </w:rPr>
        <w:t>the difference operator</w:t>
      </w:r>
      <w:r w:rsidR="000B2A47" w:rsidRPr="006C520E">
        <w:rPr>
          <w:rFonts w:eastAsiaTheme="minorEastAsia"/>
          <w:szCs w:val="24"/>
        </w:rPr>
        <w:t>.</w:t>
      </w:r>
      <w:r w:rsidRPr="006C520E">
        <w:rPr>
          <w:rFonts w:eastAsiaTheme="minorEastAsia"/>
          <w:szCs w:val="24"/>
        </w:rPr>
        <w:t xml:space="preserve"> </w:t>
      </w:r>
      <m:oMath>
        <m:sSub>
          <m:sSubPr>
            <m:ctrlPr>
              <w:rPr>
                <w:rFonts w:ascii="Cambria Math" w:hAnsi="Cambria Math"/>
                <w:i/>
                <w:szCs w:val="24"/>
                <w:lang w:bidi="en-US"/>
              </w:rPr>
            </m:ctrlPr>
          </m:sSubPr>
          <m:e>
            <m:r>
              <w:rPr>
                <w:rFonts w:ascii="Cambria Math" w:hAnsi="Cambria Math"/>
                <w:szCs w:val="24"/>
              </w:rPr>
              <m:t>ϕ</m:t>
            </m:r>
          </m:e>
          <m:sub>
            <m:r>
              <w:rPr>
                <w:rFonts w:ascii="Cambria Math" w:hAnsi="Cambria Math"/>
                <w:szCs w:val="24"/>
                <w:lang w:bidi="en-US"/>
              </w:rPr>
              <m:t>i</m:t>
            </m:r>
          </m:sub>
        </m:sSub>
      </m:oMath>
      <w:r w:rsidRPr="006C520E">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γ</m:t>
            </m:r>
          </m:e>
          <m:sub>
            <m:r>
              <w:rPr>
                <w:rFonts w:ascii="Cambria Math" w:hAnsi="Cambria Math"/>
                <w:szCs w:val="24"/>
              </w:rPr>
              <m:t>j</m:t>
            </m:r>
          </m:sub>
        </m:sSub>
      </m:oMath>
      <w:r w:rsidRPr="006C520E">
        <w:rPr>
          <w:rFonts w:eastAsiaTheme="minorEastAsia"/>
          <w:szCs w:val="24"/>
        </w:rPr>
        <w:t xml:space="preserve"> are functions of </w:t>
      </w:r>
      <m:oMath>
        <m:r>
          <w:rPr>
            <w:rFonts w:ascii="Cambria Math" w:hAnsi="Cambria Math"/>
            <w:szCs w:val="24"/>
          </w:rPr>
          <m:t>ρ</m:t>
        </m:r>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m:t>
                </m:r>
              </m:sup>
              <m:e>
                <m:sSub>
                  <m:sSubPr>
                    <m:ctrlPr>
                      <w:rPr>
                        <w:rFonts w:ascii="Cambria Math" w:hAnsi="Cambria Math"/>
                        <w:i/>
                        <w:szCs w:val="24"/>
                        <w:lang w:bidi="en-US"/>
                      </w:rPr>
                    </m:ctrlPr>
                  </m:sSubPr>
                  <m:e>
                    <m:r>
                      <w:rPr>
                        <w:rFonts w:ascii="Cambria Math" w:hAnsi="Cambria Math"/>
                        <w:szCs w:val="24"/>
                        <w:lang w:bidi="en-US"/>
                      </w:rPr>
                      <m:t>ω</m:t>
                    </m:r>
                  </m:e>
                  <m:sub>
                    <m:r>
                      <w:rPr>
                        <w:rFonts w:ascii="Cambria Math" w:hAnsi="Cambria Math"/>
                        <w:szCs w:val="24"/>
                        <w:lang w:bidi="en-US"/>
                      </w:rPr>
                      <m:t>i</m:t>
                    </m:r>
                  </m:sub>
                </m:sSub>
              </m:e>
            </m:nary>
          </m:e>
        </m:d>
      </m:oMath>
      <w:r w:rsidRPr="006C520E">
        <w:rPr>
          <w:rFonts w:eastAsiaTheme="minorEastAsia"/>
          <w:szCs w:val="24"/>
        </w:rPr>
        <w:t xml:space="preserve">, and </w:t>
      </w:r>
      <m:oMath>
        <m:r>
          <w:rPr>
            <w:rFonts w:ascii="Cambria Math" w:hAnsi="Cambria Math"/>
            <w:szCs w:val="24"/>
            <w:lang w:bidi="en-US"/>
          </w:rPr>
          <m:t>λ</m:t>
        </m:r>
        <m:r>
          <w:rPr>
            <w:rFonts w:ascii="Cambria Math" w:eastAsiaTheme="minorEastAsia"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p</m:t>
            </m:r>
          </m:sup>
          <m:e>
            <m:sSub>
              <m:sSubPr>
                <m:ctrlPr>
                  <w:rPr>
                    <w:rFonts w:ascii="Cambria Math" w:hAnsi="Cambria Math"/>
                    <w:i/>
                    <w:szCs w:val="24"/>
                    <w:lang w:bidi="en-US"/>
                  </w:rPr>
                </m:ctrlPr>
              </m:sSubPr>
              <m:e>
                <m:r>
                  <w:rPr>
                    <w:rFonts w:ascii="Cambria Math" w:hAnsi="Cambria Math"/>
                    <w:szCs w:val="24"/>
                  </w:rPr>
                  <m:t>η</m:t>
                </m:r>
              </m:e>
              <m:sub>
                <m:r>
                  <w:rPr>
                    <w:rFonts w:ascii="Cambria Math" w:hAnsi="Cambria Math"/>
                    <w:szCs w:val="24"/>
                    <w:lang w:bidi="en-US"/>
                  </w:rPr>
                  <m:t>j</m:t>
                </m:r>
              </m:sub>
            </m:sSub>
          </m:e>
        </m:nary>
      </m:oMath>
      <w:r w:rsidR="000B2A47" w:rsidRPr="006C520E">
        <w:rPr>
          <w:rFonts w:eastAsiaTheme="minorEastAsia"/>
          <w:szCs w:val="24"/>
        </w:rPr>
        <w:t>, respectively</w:t>
      </w:r>
      <w:r w:rsidRPr="006C520E">
        <w:rPr>
          <w:rFonts w:eastAsiaTheme="minorEastAsia"/>
          <w:szCs w:val="24"/>
        </w:rPr>
        <w:t>.</w:t>
      </w:r>
    </w:p>
    <w:p w14:paraId="0329286D" w14:textId="28138684" w:rsidR="00601308" w:rsidRPr="006C520E" w:rsidRDefault="001F58C7" w:rsidP="00601308">
      <w:pPr>
        <w:spacing w:before="120"/>
        <w:rPr>
          <w:szCs w:val="24"/>
        </w:rPr>
      </w:pPr>
      <w:r w:rsidRPr="006C520E">
        <w:rPr>
          <w:szCs w:val="24"/>
        </w:rPr>
        <w:t xml:space="preserve">In line with </w:t>
      </w:r>
      <w:r w:rsidR="00601308" w:rsidRPr="006C520E">
        <w:rPr>
          <w:szCs w:val="24"/>
        </w:rPr>
        <w:t xml:space="preserve">McNown </w:t>
      </w:r>
      <w:r w:rsidR="00601308" w:rsidRPr="006C520E">
        <w:rPr>
          <w:i/>
          <w:iCs/>
          <w:szCs w:val="24"/>
        </w:rPr>
        <w:t>et al</w:t>
      </w:r>
      <w:r w:rsidR="00601308" w:rsidRPr="006C520E">
        <w:rPr>
          <w:szCs w:val="24"/>
        </w:rPr>
        <w:t xml:space="preserve">. (2018), the cointegration between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w:r w:rsidR="00601308" w:rsidRPr="006C520E">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00601308" w:rsidRPr="006C520E">
        <w:rPr>
          <w:szCs w:val="24"/>
        </w:rPr>
        <w:t xml:space="preserve"> is </w:t>
      </w:r>
      <w:r w:rsidR="00C57B2B" w:rsidRPr="006C520E">
        <w:rPr>
          <w:szCs w:val="24"/>
        </w:rPr>
        <w:t xml:space="preserve">determined </w:t>
      </w:r>
      <w:r w:rsidR="00601308" w:rsidRPr="006C520E">
        <w:rPr>
          <w:szCs w:val="24"/>
        </w:rPr>
        <w:t xml:space="preserve">by testing the following hypotheses: </w:t>
      </w: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H</m:t>
            </m:r>
          </m:e>
          <m:sub>
            <m:r>
              <m:rPr>
                <m:sty m:val="p"/>
              </m:rPr>
              <w:rPr>
                <w:rFonts w:ascii="Cambria Math" w:eastAsiaTheme="minorEastAsia" w:hAnsi="Cambria Math" w:cs="Times New Roman"/>
                <w:szCs w:val="24"/>
              </w:rPr>
              <m:t>0</m:t>
            </m:r>
          </m:sub>
        </m:sSub>
        <m:r>
          <m:rPr>
            <m:sty m:val="p"/>
          </m:rPr>
          <w:rPr>
            <w:rFonts w:ascii="Cambria Math" w:eastAsiaTheme="minorEastAsia" w:hAnsi="Cambria Math" w:cs="Times New Roman"/>
            <w:szCs w:val="24"/>
          </w:rPr>
          <m:t xml:space="preserve">: </m:t>
        </m:r>
        <m:r>
          <w:rPr>
            <w:rFonts w:ascii="Cambria Math" w:hAnsi="Cambria Math"/>
            <w:szCs w:val="24"/>
          </w:rPr>
          <m:t>ρ</m:t>
        </m:r>
        <m:r>
          <m:rPr>
            <m:sty m:val="p"/>
          </m:rPr>
          <w:rPr>
            <w:rFonts w:ascii="Cambria Math" w:hAnsi="Cambria Math" w:cs="Times New Roman"/>
            <w:szCs w:val="24"/>
          </w:rPr>
          <m:t>=</m:t>
        </m:r>
        <m:r>
          <w:rPr>
            <w:rFonts w:ascii="Cambria Math" w:hAnsi="Cambria Math"/>
            <w:szCs w:val="24"/>
            <w:lang w:bidi="en-US"/>
          </w:rPr>
          <m:t>λ</m:t>
        </m:r>
        <m:r>
          <m:rPr>
            <m:sty m:val="p"/>
          </m:rPr>
          <w:rPr>
            <w:rFonts w:ascii="Cambria Math" w:hAnsi="Cambria Math" w:cs="Times New Roman"/>
            <w:szCs w:val="24"/>
          </w:rPr>
          <m:t>=0</m:t>
        </m:r>
      </m:oMath>
      <w:r w:rsidR="00C57B2B" w:rsidRPr="006C520E">
        <w:rPr>
          <w:rFonts w:eastAsiaTheme="minorEastAsia" w:cs="Times New Roman"/>
          <w:szCs w:val="24"/>
        </w:rPr>
        <w:t xml:space="preserve"> (for </w:t>
      </w:r>
      <w:r w:rsidR="00601308" w:rsidRPr="006C520E">
        <w:rPr>
          <w:rFonts w:eastAsiaTheme="minorEastAsia" w:cs="Times New Roman"/>
          <w:szCs w:val="24"/>
        </w:rPr>
        <w:t xml:space="preserve">overall </w:t>
      </w:r>
      <w:r w:rsidR="00601308" w:rsidRPr="006C520E">
        <w:rPr>
          <w:rFonts w:cs="Times New Roman"/>
          <w:i/>
          <w:szCs w:val="24"/>
        </w:rPr>
        <w:t>F</w:t>
      </w:r>
      <w:r w:rsidR="00601308" w:rsidRPr="006C520E">
        <w:rPr>
          <w:rFonts w:cs="Times New Roman"/>
          <w:szCs w:val="24"/>
        </w:rPr>
        <w:t>-test on all lagged-level variables</w:t>
      </w:r>
      <w:r w:rsidR="00C57B2B" w:rsidRPr="006C520E">
        <w:rPr>
          <w:rFonts w:cs="Times New Roman"/>
          <w:szCs w:val="24"/>
        </w:rPr>
        <w:t xml:space="preserve">, </w:t>
      </w:r>
      <m:oMath>
        <m:sSub>
          <m:sSubPr>
            <m:ctrlPr>
              <w:rPr>
                <w:rFonts w:ascii="Cambria Math" w:hAnsi="Cambria Math"/>
                <w:i/>
                <w:szCs w:val="24"/>
                <w:vertAlign w:val="subscript"/>
              </w:rPr>
            </m:ctrlPr>
          </m:sSubPr>
          <m:e>
            <m:r>
              <w:rPr>
                <w:rFonts w:ascii="Cambria Math" w:hAnsi="Cambria Math"/>
                <w:szCs w:val="24"/>
              </w:rPr>
              <m:t>F</m:t>
            </m:r>
            <m:ctrlPr>
              <w:rPr>
                <w:rFonts w:ascii="Cambria Math" w:hAnsi="Cambria Math"/>
                <w:i/>
                <w:szCs w:val="24"/>
              </w:rPr>
            </m:ctrlPr>
          </m:e>
          <m:sub>
            <m:r>
              <w:rPr>
                <w:rFonts w:ascii="Cambria Math" w:hAnsi="Cambria Math"/>
                <w:szCs w:val="24"/>
                <w:vertAlign w:val="subscript"/>
              </w:rPr>
              <m:t>1</m:t>
            </m:r>
          </m:sub>
        </m:sSub>
      </m:oMath>
      <w:r w:rsidR="00601308" w:rsidRPr="006C520E">
        <w:rPr>
          <w:rFonts w:cs="Times New Roman"/>
          <w:szCs w:val="24"/>
        </w:rPr>
        <w:t>);</w:t>
      </w:r>
      <m:oMath>
        <m:r>
          <m:rPr>
            <m:sty m:val="p"/>
          </m:rPr>
          <w:rPr>
            <w:rFonts w:ascii="Cambria Math" w:eastAsiaTheme="minorEastAsia" w:hAnsi="Cambria Math" w:cs="Times New Roman"/>
            <w:szCs w:val="24"/>
          </w:rPr>
          <m:t xml:space="preserve"> </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H</m:t>
            </m:r>
          </m:e>
          <m:sub>
            <m:r>
              <m:rPr>
                <m:sty m:val="p"/>
              </m:rPr>
              <w:rPr>
                <w:rFonts w:ascii="Cambria Math" w:eastAsiaTheme="minorEastAsia" w:hAnsi="Cambria Math" w:cs="Times New Roman"/>
                <w:szCs w:val="24"/>
              </w:rPr>
              <m:t>0</m:t>
            </m:r>
          </m:sub>
        </m:sSub>
        <m:r>
          <m:rPr>
            <m:sty m:val="p"/>
          </m:rPr>
          <w:rPr>
            <w:rFonts w:ascii="Cambria Math" w:eastAsiaTheme="minorEastAsia" w:hAnsi="Cambria Math" w:cs="Times New Roman"/>
            <w:szCs w:val="24"/>
          </w:rPr>
          <m:t xml:space="preserve">: </m:t>
        </m:r>
        <m:r>
          <w:rPr>
            <w:rFonts w:ascii="Cambria Math" w:hAnsi="Cambria Math"/>
            <w:szCs w:val="24"/>
          </w:rPr>
          <m:t>ρ</m:t>
        </m:r>
        <m:r>
          <m:rPr>
            <m:sty m:val="p"/>
          </m:rPr>
          <w:rPr>
            <w:rFonts w:ascii="Cambria Math" w:hAnsi="Cambria Math" w:cs="Times New Roman"/>
            <w:szCs w:val="24"/>
          </w:rPr>
          <m:t>=0</m:t>
        </m:r>
      </m:oMath>
      <w:r w:rsidR="00C57B2B" w:rsidRPr="006C520E">
        <w:rPr>
          <w:rFonts w:eastAsiaTheme="minorEastAsia" w:cs="Times New Roman"/>
          <w:szCs w:val="24"/>
        </w:rPr>
        <w:t xml:space="preserve"> </w:t>
      </w:r>
      <w:r w:rsidR="00C57B2B" w:rsidRPr="006C520E">
        <w:rPr>
          <w:rFonts w:eastAsiaTheme="minorEastAsia" w:cs="Times New Roman"/>
          <w:szCs w:val="24"/>
        </w:rPr>
        <w:lastRenderedPageBreak/>
        <w:t>(</w:t>
      </w:r>
      <w:r w:rsidR="00601308" w:rsidRPr="006C520E">
        <w:rPr>
          <w:rFonts w:eastAsiaTheme="minorEastAsia" w:cs="Times New Roman"/>
          <w:szCs w:val="24"/>
        </w:rPr>
        <w:t xml:space="preserve">the </w:t>
      </w:r>
      <w:r w:rsidR="00601308" w:rsidRPr="006C520E">
        <w:rPr>
          <w:rFonts w:eastAsiaTheme="minorEastAsia" w:cs="Times New Roman"/>
          <w:i/>
          <w:iCs/>
          <w:szCs w:val="24"/>
        </w:rPr>
        <w:t>t</w:t>
      </w:r>
      <w:r w:rsidR="00601308" w:rsidRPr="006C520E">
        <w:rPr>
          <w:rFonts w:eastAsiaTheme="minorEastAsia" w:cs="Times New Roman"/>
          <w:szCs w:val="24"/>
        </w:rPr>
        <w:t xml:space="preserve">-test on the </w:t>
      </w:r>
      <w:r w:rsidR="00601308" w:rsidRPr="006C520E">
        <w:rPr>
          <w:rFonts w:cs="Times New Roman"/>
          <w:szCs w:val="24"/>
        </w:rPr>
        <w:t xml:space="preserve">lagged level of the </w:t>
      </w:r>
      <w:r w:rsidR="00C57B2B" w:rsidRPr="006C520E">
        <w:rPr>
          <w:rFonts w:cs="Times New Roman"/>
          <w:szCs w:val="24"/>
        </w:rPr>
        <w:t xml:space="preserve">response </w:t>
      </w:r>
      <w:r w:rsidR="00601308" w:rsidRPr="006C520E">
        <w:rPr>
          <w:rFonts w:cs="Times New Roman"/>
          <w:szCs w:val="24"/>
        </w:rPr>
        <w:t>variable</w:t>
      </w:r>
      <w:r w:rsidR="00C57B2B" w:rsidRPr="006C520E">
        <w:rPr>
          <w:rFonts w:cs="Times New Roman"/>
          <w:szCs w:val="24"/>
        </w:rPr>
        <w:t xml:space="preserve">, </w:t>
      </w:r>
      <m:oMath>
        <m:r>
          <w:rPr>
            <w:rFonts w:ascii="Cambria Math" w:hAnsi="Cambria Math"/>
            <w:szCs w:val="24"/>
            <w:vertAlign w:val="subscript"/>
          </w:rPr>
          <m:t>t</m:t>
        </m:r>
      </m:oMath>
      <w:r w:rsidR="00601308" w:rsidRPr="006C520E">
        <w:rPr>
          <w:rFonts w:cs="Times New Roman"/>
          <w:szCs w:val="24"/>
        </w:rPr>
        <w:t xml:space="preserve">); and </w:t>
      </w: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H</m:t>
            </m:r>
          </m:e>
          <m:sub>
            <m:r>
              <m:rPr>
                <m:sty m:val="p"/>
              </m:rPr>
              <w:rPr>
                <w:rFonts w:ascii="Cambria Math" w:eastAsiaTheme="minorEastAsia" w:hAnsi="Cambria Math" w:cs="Times New Roman"/>
                <w:szCs w:val="24"/>
              </w:rPr>
              <m:t>0</m:t>
            </m:r>
          </m:sub>
        </m:sSub>
        <m:r>
          <m:rPr>
            <m:sty m:val="p"/>
          </m:rPr>
          <w:rPr>
            <w:rFonts w:ascii="Cambria Math" w:eastAsiaTheme="minorEastAsia" w:hAnsi="Cambria Math" w:cs="Times New Roman"/>
            <w:szCs w:val="24"/>
          </w:rPr>
          <m:t xml:space="preserve">: </m:t>
        </m:r>
        <m:r>
          <w:rPr>
            <w:rFonts w:ascii="Cambria Math" w:hAnsi="Cambria Math"/>
            <w:szCs w:val="24"/>
            <w:lang w:bidi="en-US"/>
          </w:rPr>
          <m:t>λ</m:t>
        </m:r>
        <m:r>
          <m:rPr>
            <m:sty m:val="p"/>
          </m:rPr>
          <w:rPr>
            <w:rFonts w:ascii="Cambria Math" w:hAnsi="Cambria Math" w:cs="Times New Roman"/>
            <w:szCs w:val="24"/>
          </w:rPr>
          <m:t>=0</m:t>
        </m:r>
      </m:oMath>
      <w:r w:rsidR="00C57B2B" w:rsidRPr="006C520E">
        <w:rPr>
          <w:rFonts w:eastAsiaTheme="minorEastAsia" w:cs="Times New Roman"/>
          <w:szCs w:val="24"/>
        </w:rPr>
        <w:t xml:space="preserve"> (</w:t>
      </w:r>
      <w:r w:rsidR="00601308" w:rsidRPr="006C520E">
        <w:rPr>
          <w:rFonts w:eastAsiaTheme="minorEastAsia" w:cs="Times New Roman"/>
          <w:szCs w:val="24"/>
        </w:rPr>
        <w:t xml:space="preserve">the </w:t>
      </w:r>
      <w:r w:rsidR="00601308" w:rsidRPr="006C520E">
        <w:rPr>
          <w:rFonts w:cs="Times New Roman"/>
          <w:i/>
          <w:iCs/>
          <w:szCs w:val="24"/>
        </w:rPr>
        <w:t>F</w:t>
      </w:r>
      <w:r w:rsidR="00601308" w:rsidRPr="006C520E">
        <w:rPr>
          <w:rFonts w:cs="Times New Roman"/>
          <w:szCs w:val="24"/>
        </w:rPr>
        <w:t xml:space="preserve">-test on the lagged levels of the </w:t>
      </w:r>
      <w:r w:rsidR="00C57B2B" w:rsidRPr="006C520E">
        <w:rPr>
          <w:rFonts w:cs="Times New Roman"/>
          <w:szCs w:val="24"/>
        </w:rPr>
        <w:t xml:space="preserve">explanatory </w:t>
      </w:r>
      <w:r w:rsidR="00601308" w:rsidRPr="006C520E">
        <w:rPr>
          <w:rFonts w:cs="Times New Roman"/>
          <w:szCs w:val="24"/>
        </w:rPr>
        <w:t>variable(s)</w:t>
      </w:r>
      <w:r w:rsidR="00C57B2B" w:rsidRPr="006C520E">
        <w:rPr>
          <w:rFonts w:cs="Times New Roman"/>
          <w:szCs w:val="24"/>
        </w:rPr>
        <w:t xml:space="preserve">, </w:t>
      </w:r>
      <m:oMath>
        <m:sSub>
          <m:sSubPr>
            <m:ctrlPr>
              <w:rPr>
                <w:rFonts w:ascii="Cambria Math" w:hAnsi="Cambria Math"/>
                <w:i/>
                <w:szCs w:val="24"/>
                <w:vertAlign w:val="subscript"/>
              </w:rPr>
            </m:ctrlPr>
          </m:sSubPr>
          <m:e>
            <m:r>
              <w:rPr>
                <w:rFonts w:ascii="Cambria Math" w:hAnsi="Cambria Math"/>
                <w:szCs w:val="24"/>
              </w:rPr>
              <m:t>F</m:t>
            </m:r>
            <m:ctrlPr>
              <w:rPr>
                <w:rFonts w:ascii="Cambria Math" w:hAnsi="Cambria Math"/>
                <w:i/>
                <w:szCs w:val="24"/>
              </w:rPr>
            </m:ctrlPr>
          </m:e>
          <m:sub>
            <m:r>
              <w:rPr>
                <w:rFonts w:ascii="Cambria Math" w:hAnsi="Cambria Math"/>
                <w:szCs w:val="24"/>
                <w:vertAlign w:val="subscript"/>
              </w:rPr>
              <m:t>2</m:t>
            </m:r>
          </m:sub>
        </m:sSub>
      </m:oMath>
      <w:r w:rsidR="00601308" w:rsidRPr="006C520E">
        <w:rPr>
          <w:rFonts w:cs="Times New Roman"/>
          <w:szCs w:val="24"/>
        </w:rPr>
        <w:t xml:space="preserve">). </w:t>
      </w:r>
      <w:r w:rsidR="00044C1C" w:rsidRPr="006C520E">
        <w:rPr>
          <w:rFonts w:cs="Times New Roman"/>
          <w:szCs w:val="24"/>
        </w:rPr>
        <w:t xml:space="preserve">For </w:t>
      </w:r>
      <w:r w:rsidR="00F6687D" w:rsidRPr="006C520E">
        <w:rPr>
          <w:rFonts w:cs="Times New Roman"/>
          <w:szCs w:val="24"/>
        </w:rPr>
        <w:t xml:space="preserve">a </w:t>
      </w:r>
      <w:r w:rsidR="00044C1C" w:rsidRPr="006C520E">
        <w:rPr>
          <w:rFonts w:cs="Times New Roman"/>
          <w:szCs w:val="24"/>
        </w:rPr>
        <w:t>valid conclusion on the cointegration between series to be made, a</w:t>
      </w:r>
      <w:r w:rsidR="00601308" w:rsidRPr="006C520E">
        <w:rPr>
          <w:rFonts w:cs="Times New Roman"/>
          <w:szCs w:val="24"/>
        </w:rPr>
        <w:t xml:space="preserve">ll three </w:t>
      </w:r>
      <w:r w:rsidR="00601308" w:rsidRPr="006C520E">
        <w:rPr>
          <w:szCs w:val="24"/>
        </w:rPr>
        <w:t xml:space="preserve">null hypotheses </w:t>
      </w:r>
      <w:r w:rsidR="00044C1C" w:rsidRPr="006C520E">
        <w:rPr>
          <w:szCs w:val="24"/>
        </w:rPr>
        <w:t xml:space="preserve">must </w:t>
      </w:r>
      <w:r w:rsidR="00601308" w:rsidRPr="006C520E">
        <w:rPr>
          <w:szCs w:val="24"/>
        </w:rPr>
        <w:t>be rejected</w:t>
      </w:r>
      <w:r w:rsidR="002417CA" w:rsidRPr="006C520E">
        <w:rPr>
          <w:szCs w:val="24"/>
        </w:rPr>
        <w:t xml:space="preserve"> (</w:t>
      </w:r>
      <w:r w:rsidR="00E2773A" w:rsidRPr="006C520E">
        <w:rPr>
          <w:szCs w:val="24"/>
        </w:rPr>
        <w:t xml:space="preserve">Abu </w:t>
      </w:r>
      <w:r w:rsidR="00E2773A" w:rsidRPr="006C520E">
        <w:rPr>
          <w:i/>
          <w:iCs/>
          <w:szCs w:val="24"/>
        </w:rPr>
        <w:t>et al</w:t>
      </w:r>
      <w:r w:rsidR="00E2773A" w:rsidRPr="006C520E">
        <w:rPr>
          <w:szCs w:val="24"/>
        </w:rPr>
        <w:t>., 2022</w:t>
      </w:r>
      <w:r w:rsidR="000B615A" w:rsidRPr="006C520E">
        <w:rPr>
          <w:szCs w:val="24"/>
        </w:rPr>
        <w:t>a</w:t>
      </w:r>
      <w:r w:rsidR="00E2773A" w:rsidRPr="006C520E">
        <w:rPr>
          <w:szCs w:val="24"/>
        </w:rPr>
        <w:t xml:space="preserve">; </w:t>
      </w:r>
      <w:r w:rsidR="002417CA" w:rsidRPr="006C520E">
        <w:rPr>
          <w:szCs w:val="24"/>
        </w:rPr>
        <w:t xml:space="preserve">David </w:t>
      </w:r>
      <w:r w:rsidR="002417CA" w:rsidRPr="006C520E">
        <w:rPr>
          <w:i/>
          <w:iCs/>
          <w:szCs w:val="24"/>
        </w:rPr>
        <w:t>et al</w:t>
      </w:r>
      <w:r w:rsidR="002417CA" w:rsidRPr="006C520E">
        <w:rPr>
          <w:szCs w:val="24"/>
        </w:rPr>
        <w:t>., 2024)</w:t>
      </w:r>
      <w:r w:rsidR="00601308" w:rsidRPr="006C520E">
        <w:rPr>
          <w:szCs w:val="24"/>
        </w:rPr>
        <w:t>.</w:t>
      </w:r>
    </w:p>
    <w:p w14:paraId="49A32078" w14:textId="20FA2D9A" w:rsidR="003071AD" w:rsidRPr="006C520E" w:rsidRDefault="001D3DD0" w:rsidP="003071AD">
      <w:pPr>
        <w:spacing w:before="120"/>
        <w:rPr>
          <w:rFonts w:cs="Times New Roman"/>
          <w:szCs w:val="24"/>
        </w:rPr>
      </w:pPr>
      <w:r w:rsidRPr="006C520E">
        <w:rPr>
          <w:rFonts w:cs="Times New Roman"/>
          <w:szCs w:val="24"/>
        </w:rPr>
        <w:t xml:space="preserve">In the case that a </w:t>
      </w:r>
      <w:r w:rsidR="003071AD" w:rsidRPr="006C520E">
        <w:rPr>
          <w:rFonts w:cs="Times New Roman"/>
          <w:szCs w:val="24"/>
        </w:rPr>
        <w:t xml:space="preserve">cointegrating </w:t>
      </w:r>
      <w:r w:rsidRPr="006C520E">
        <w:rPr>
          <w:rFonts w:cs="Times New Roman"/>
          <w:szCs w:val="24"/>
        </w:rPr>
        <w:t xml:space="preserve">relationship </w:t>
      </w:r>
      <w:r w:rsidR="003071AD" w:rsidRPr="006C520E">
        <w:rPr>
          <w:rFonts w:cs="Times New Roman"/>
          <w:szCs w:val="24"/>
        </w:rPr>
        <w:t xml:space="preserve">is established, </w:t>
      </w:r>
      <w:r w:rsidR="003071AD" w:rsidRPr="006C520E">
        <w:rPr>
          <w:rFonts w:eastAsiaTheme="minorEastAsia" w:cs="Times New Roman"/>
          <w:szCs w:val="24"/>
        </w:rPr>
        <w:t xml:space="preserve">the long-run estimate is </w:t>
      </w:r>
      <w:r w:rsidRPr="006C520E">
        <w:rPr>
          <w:rFonts w:eastAsiaTheme="minorEastAsia" w:cs="Times New Roman"/>
          <w:szCs w:val="24"/>
        </w:rPr>
        <w:t xml:space="preserve">derived </w:t>
      </w:r>
      <w:r w:rsidR="003071AD" w:rsidRPr="006C520E">
        <w:rPr>
          <w:rFonts w:eastAsiaTheme="minorEastAsia" w:cs="Times New Roman"/>
          <w:szCs w:val="24"/>
        </w:rPr>
        <w:t>by normalising the coefficients of the lagged explanatory variables by the coefficient of lagged dependent variables</w:t>
      </w:r>
      <w:r w:rsidRPr="006C520E">
        <w:rPr>
          <w:rFonts w:eastAsiaTheme="minorEastAsia" w:cs="Times New Roman"/>
          <w:szCs w:val="24"/>
        </w:rPr>
        <w:t xml:space="preserve">, that is </w:t>
      </w:r>
      <m:oMath>
        <m:r>
          <w:rPr>
            <w:rFonts w:ascii="Cambria Math" w:hAnsi="Cambria Math"/>
            <w:szCs w:val="24"/>
            <w:lang w:bidi="en-US"/>
          </w:rPr>
          <m:t>λ</m:t>
        </m:r>
        <m:r>
          <w:rPr>
            <w:rFonts w:ascii="Cambria Math" w:eastAsiaTheme="minorEastAsia" w:hAnsi="Cambria Math" w:cs="Times New Roman"/>
            <w:szCs w:val="24"/>
          </w:rPr>
          <m:t>/</m:t>
        </m:r>
        <m:r>
          <w:rPr>
            <w:rFonts w:ascii="Cambria Math" w:hAnsi="Cambria Math"/>
            <w:szCs w:val="24"/>
          </w:rPr>
          <m:t>ρ</m:t>
        </m:r>
      </m:oMath>
      <w:r w:rsidR="003071AD" w:rsidRPr="006C520E">
        <w:rPr>
          <w:rFonts w:eastAsiaTheme="minorEastAsia" w:cs="Times New Roman"/>
          <w:szCs w:val="24"/>
        </w:rPr>
        <w:t>.</w:t>
      </w:r>
      <w:r w:rsidR="003071AD" w:rsidRPr="006C520E">
        <w:rPr>
          <w:rFonts w:cs="Times New Roman"/>
          <w:szCs w:val="24"/>
        </w:rPr>
        <w:t xml:space="preserve"> </w:t>
      </w:r>
      <w:r w:rsidR="002579FD" w:rsidRPr="006C520E">
        <w:rPr>
          <w:rFonts w:cs="Times New Roman"/>
          <w:szCs w:val="24"/>
        </w:rPr>
        <w:t xml:space="preserve">A </w:t>
      </w:r>
      <w:r w:rsidR="003071AD" w:rsidRPr="006C520E">
        <w:rPr>
          <w:rFonts w:cs="Times New Roman"/>
          <w:szCs w:val="24"/>
        </w:rPr>
        <w:t xml:space="preserve">corresponding dynamic short-run error correction model </w:t>
      </w:r>
      <w:r w:rsidR="002579FD" w:rsidRPr="006C520E">
        <w:rPr>
          <w:rFonts w:cs="Times New Roman"/>
          <w:szCs w:val="24"/>
        </w:rPr>
        <w:t xml:space="preserve">can also be determined </w:t>
      </w:r>
      <w:r w:rsidR="003071AD" w:rsidRPr="006C520E">
        <w:rPr>
          <w:rFonts w:cs="Times New Roman"/>
          <w:szCs w:val="24"/>
        </w:rPr>
        <w:t>as follows.</w:t>
      </w: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8540"/>
        <w:gridCol w:w="580"/>
      </w:tblGrid>
      <w:tr w:rsidR="003071AD" w:rsidRPr="006C520E" w14:paraId="03BD813E" w14:textId="77777777" w:rsidTr="008E7849">
        <w:trPr>
          <w:trHeight w:val="900"/>
        </w:trPr>
        <w:tc>
          <w:tcPr>
            <w:tcW w:w="127" w:type="pct"/>
          </w:tcPr>
          <w:p w14:paraId="1221822C" w14:textId="77777777" w:rsidR="003071AD" w:rsidRPr="006C520E" w:rsidRDefault="003071AD" w:rsidP="008E7849">
            <w:pPr>
              <w:rPr>
                <w:szCs w:val="24"/>
              </w:rPr>
            </w:pPr>
          </w:p>
        </w:tc>
        <w:tc>
          <w:tcPr>
            <w:tcW w:w="4563" w:type="pct"/>
            <w:hideMark/>
          </w:tcPr>
          <w:p w14:paraId="2A8B9F03" w14:textId="3A81B750" w:rsidR="003071AD" w:rsidRPr="006C520E" w:rsidRDefault="003071AD" w:rsidP="008E7849">
            <w:pPr>
              <w:rPr>
                <w:i/>
                <w:szCs w:val="24"/>
              </w:rPr>
            </w:pPr>
            <m:oMathPara>
              <m:oMath>
                <m:r>
                  <m:rPr>
                    <m:sty m:val="p"/>
                  </m:rPr>
                  <w:rPr>
                    <w:rFonts w:ascii="Cambria Math" w:eastAsiaTheme="minorEastAsia" w:hAnsi="Cambria Math"/>
                    <w:szCs w:val="24"/>
                  </w:rPr>
                  <m:t>Δ</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=a+</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p</m:t>
                    </m:r>
                  </m:sup>
                  <m:e>
                    <m:sSubSup>
                      <m:sSubSupPr>
                        <m:ctrlPr>
                          <w:rPr>
                            <w:rFonts w:ascii="Cambria Math" w:hAnsi="Cambria Math"/>
                            <w:i/>
                            <w:szCs w:val="24"/>
                            <w:lang w:bidi="en-US"/>
                          </w:rPr>
                        </m:ctrlPr>
                      </m:sSubSupPr>
                      <m:e>
                        <m:r>
                          <w:rPr>
                            <w:rFonts w:ascii="Cambria Math" w:hAnsi="Cambria Math"/>
                            <w:szCs w:val="24"/>
                            <w:lang w:bidi="en-US"/>
                          </w:rPr>
                          <m:t>ζ</m:t>
                        </m:r>
                      </m:e>
                      <m:sub>
                        <m:r>
                          <w:rPr>
                            <w:rFonts w:ascii="Cambria Math" w:hAnsi="Cambria Math"/>
                            <w:szCs w:val="24"/>
                          </w:rPr>
                          <m:t>i</m:t>
                        </m:r>
                        <m:ctrlPr>
                          <w:rPr>
                            <w:rFonts w:ascii="Cambria Math" w:hAnsi="Cambria Math"/>
                            <w:i/>
                            <w:szCs w:val="24"/>
                          </w:rPr>
                        </m:ctrlPr>
                      </m:sub>
                      <m:sup>
                        <m:r>
                          <w:rPr>
                            <w:rFonts w:ascii="Cambria Math" w:hAnsi="Cambria Math"/>
                            <w:szCs w:val="24"/>
                            <w:lang w:bidi="en-US"/>
                          </w:rPr>
                          <m:t>'</m:t>
                        </m:r>
                      </m:sup>
                    </m:sSubSup>
                    <m:r>
                      <m:rPr>
                        <m:sty m:val="p"/>
                      </m:rPr>
                      <w:rPr>
                        <w:rFonts w:ascii="Cambria Math" w:hAnsi="Cambria Math"/>
                        <w:szCs w:val="24"/>
                        <w:lang w:bidi="en-US"/>
                      </w:rPr>
                      <m:t>Δ</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t-i</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q</m:t>
                    </m:r>
                  </m:sup>
                  <m:e>
                    <m:sSubSup>
                      <m:sSubSupPr>
                        <m:ctrlPr>
                          <w:rPr>
                            <w:rFonts w:ascii="Cambria Math" w:hAnsi="Cambria Math"/>
                            <w:i/>
                            <w:szCs w:val="24"/>
                            <w:lang w:bidi="en-US"/>
                          </w:rPr>
                        </m:ctrlPr>
                      </m:sSubSupPr>
                      <m:e>
                        <m:r>
                          <w:rPr>
                            <w:rFonts w:ascii="Cambria Math" w:hAnsi="Cambria Math"/>
                            <w:szCs w:val="24"/>
                            <w:lang w:bidi="en-US"/>
                          </w:rPr>
                          <m:t>ξ</m:t>
                        </m:r>
                      </m:e>
                      <m:sub>
                        <m:r>
                          <w:rPr>
                            <w:rFonts w:ascii="Cambria Math" w:hAnsi="Cambria Math"/>
                            <w:szCs w:val="24"/>
                            <w:lang w:bidi="en-US"/>
                          </w:rPr>
                          <m:t>j</m:t>
                        </m:r>
                        <m:ctrlPr>
                          <w:rPr>
                            <w:rFonts w:ascii="Cambria Math" w:hAnsi="Cambria Math"/>
                            <w:i/>
                            <w:szCs w:val="24"/>
                          </w:rPr>
                        </m:ctrlPr>
                      </m:sub>
                      <m:sup>
                        <m:r>
                          <w:rPr>
                            <w:rFonts w:ascii="Cambria Math" w:hAnsi="Cambria Math"/>
                            <w:szCs w:val="24"/>
                            <w:lang w:bidi="en-US"/>
                          </w:rPr>
                          <m:t>'</m:t>
                        </m:r>
                      </m:sup>
                    </m:sSubSup>
                    <m:r>
                      <m:rPr>
                        <m:sty m:val="p"/>
                      </m:rPr>
                      <w:rPr>
                        <w:rFonts w:ascii="Cambria Math" w:hAnsi="Cambria Math"/>
                        <w:szCs w:val="24"/>
                        <w:lang w:bidi="en-US"/>
                      </w:rPr>
                      <m:t>Δ</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t-i</m:t>
                        </m:r>
                      </m:sub>
                    </m:sSub>
                  </m:e>
                </m:nary>
                <m:r>
                  <w:rPr>
                    <w:rFonts w:ascii="Cambria Math" w:hAnsi="Cambria Math"/>
                    <w:szCs w:val="24"/>
                  </w:rPr>
                  <m:t>+φ</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m:oMathPara>
          </w:p>
        </w:tc>
        <w:tc>
          <w:tcPr>
            <w:tcW w:w="310" w:type="pct"/>
            <w:vAlign w:val="center"/>
            <w:hideMark/>
          </w:tcPr>
          <w:p w14:paraId="49600570" w14:textId="0A484AD3" w:rsidR="003071AD" w:rsidRPr="006C520E" w:rsidRDefault="003071AD" w:rsidP="008E7849">
            <w:pPr>
              <w:jc w:val="center"/>
              <w:rPr>
                <w:szCs w:val="24"/>
              </w:rPr>
            </w:pPr>
            <w:r w:rsidRPr="006C520E">
              <w:rPr>
                <w:szCs w:val="24"/>
              </w:rPr>
              <w:t>(</w:t>
            </w:r>
            <w:r w:rsidR="002579FD" w:rsidRPr="006C520E">
              <w:rPr>
                <w:szCs w:val="24"/>
              </w:rPr>
              <w:t>5</w:t>
            </w:r>
            <w:r w:rsidRPr="006C520E">
              <w:rPr>
                <w:szCs w:val="24"/>
              </w:rPr>
              <w:t>)</w:t>
            </w:r>
          </w:p>
        </w:tc>
      </w:tr>
    </w:tbl>
    <w:p w14:paraId="6A012987" w14:textId="332925A7" w:rsidR="003071AD" w:rsidRPr="006C520E" w:rsidRDefault="003071AD" w:rsidP="003071AD">
      <w:pPr>
        <w:rPr>
          <w:rFonts w:eastAsiaTheme="minorEastAsia" w:cs="Times New Roman"/>
          <w:szCs w:val="24"/>
        </w:rPr>
      </w:pPr>
      <w:r w:rsidRPr="006C520E">
        <w:rPr>
          <w:rFonts w:eastAsiaTheme="minorEastAsia" w:cs="Times New Roman"/>
          <w:szCs w:val="24"/>
        </w:rPr>
        <w:t xml:space="preserve">where </w:t>
      </w:r>
      <m:oMath>
        <m:r>
          <w:rPr>
            <w:rFonts w:ascii="Cambria Math" w:hAnsi="Cambria Math"/>
            <w:szCs w:val="24"/>
          </w:rPr>
          <m:t>φ</m:t>
        </m:r>
      </m:oMath>
      <w:r w:rsidRPr="006C520E">
        <w:rPr>
          <w:rFonts w:eastAsiaTheme="minorEastAsia" w:cs="Times New Roman"/>
          <w:szCs w:val="24"/>
        </w:rPr>
        <w:t xml:space="preserve"> is the </w:t>
      </w:r>
      <w:r w:rsidR="00506175" w:rsidRPr="006C520E">
        <w:rPr>
          <w:rFonts w:eastAsiaTheme="minorEastAsia" w:cs="Times New Roman"/>
          <w:szCs w:val="24"/>
        </w:rPr>
        <w:t>parameter of the one</w:t>
      </w:r>
      <w:r w:rsidR="00F6687D" w:rsidRPr="006C520E">
        <w:rPr>
          <w:rFonts w:eastAsiaTheme="minorEastAsia" w:cs="Times New Roman"/>
          <w:szCs w:val="24"/>
        </w:rPr>
        <w:t>-</w:t>
      </w:r>
      <w:r w:rsidR="00506175" w:rsidRPr="006C520E">
        <w:rPr>
          <w:rFonts w:eastAsiaTheme="minorEastAsia" w:cs="Times New Roman"/>
          <w:szCs w:val="24"/>
        </w:rPr>
        <w:t xml:space="preserve">period lag </w:t>
      </w:r>
      <w:r w:rsidRPr="006C520E">
        <w:rPr>
          <w:rFonts w:eastAsiaTheme="minorEastAsia" w:cs="Times New Roman"/>
          <w:szCs w:val="24"/>
        </w:rPr>
        <w:t>error term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t-1</m:t>
            </m:r>
          </m:sub>
        </m:sSub>
      </m:oMath>
      <w:r w:rsidRPr="006C520E">
        <w:rPr>
          <w:rFonts w:eastAsiaTheme="minorEastAsia" w:cs="Times New Roman"/>
          <w:szCs w:val="24"/>
        </w:rPr>
        <w:t>)</w:t>
      </w:r>
      <w:r w:rsidR="00506175" w:rsidRPr="006C520E">
        <w:rPr>
          <w:rFonts w:eastAsiaTheme="minorEastAsia" w:cs="Times New Roman"/>
          <w:szCs w:val="24"/>
        </w:rPr>
        <w:t xml:space="preserve">, representing </w:t>
      </w:r>
      <w:r w:rsidRPr="006C520E">
        <w:rPr>
          <w:rFonts w:eastAsiaTheme="minorEastAsia" w:cs="Times New Roman"/>
          <w:szCs w:val="24"/>
        </w:rPr>
        <w:t>the speed of adjustment back to equilibrium in the long</w:t>
      </w:r>
      <w:r w:rsidR="006D405B" w:rsidRPr="006C520E">
        <w:rPr>
          <w:rFonts w:eastAsiaTheme="minorEastAsia" w:cs="Times New Roman"/>
          <w:szCs w:val="24"/>
        </w:rPr>
        <w:t xml:space="preserve"> </w:t>
      </w:r>
      <w:r w:rsidRPr="006C520E">
        <w:rPr>
          <w:rFonts w:eastAsiaTheme="minorEastAsia" w:cs="Times New Roman"/>
          <w:szCs w:val="24"/>
        </w:rPr>
        <w:t xml:space="preserve">run </w:t>
      </w:r>
      <w:r w:rsidR="00506175" w:rsidRPr="006C520E">
        <w:rPr>
          <w:rFonts w:eastAsiaTheme="minorEastAsia" w:cs="Times New Roman"/>
          <w:szCs w:val="24"/>
        </w:rPr>
        <w:t xml:space="preserve">after </w:t>
      </w:r>
      <w:r w:rsidRPr="006C520E">
        <w:rPr>
          <w:rFonts w:eastAsiaTheme="minorEastAsia" w:cs="Times New Roman"/>
          <w:szCs w:val="24"/>
        </w:rPr>
        <w:t>a deviation in the short</w:t>
      </w:r>
      <w:r w:rsidR="006D405B" w:rsidRPr="006C520E">
        <w:rPr>
          <w:rFonts w:eastAsiaTheme="minorEastAsia" w:cs="Times New Roman"/>
          <w:szCs w:val="24"/>
        </w:rPr>
        <w:t xml:space="preserve"> </w:t>
      </w:r>
      <w:r w:rsidRPr="006C520E">
        <w:rPr>
          <w:rFonts w:eastAsiaTheme="minorEastAsia" w:cs="Times New Roman"/>
          <w:szCs w:val="24"/>
        </w:rPr>
        <w:t>run.</w:t>
      </w:r>
    </w:p>
    <w:p w14:paraId="1CA09313" w14:textId="3AAA3B4C" w:rsidR="00120965" w:rsidRPr="006C520E" w:rsidRDefault="004206D4" w:rsidP="00E2592C">
      <w:pPr>
        <w:pStyle w:val="Heading1"/>
        <w:spacing w:before="0" w:line="240" w:lineRule="auto"/>
        <w:rPr>
          <w:rFonts w:ascii="Times New Roman" w:hAnsi="Times New Roman" w:cs="Times New Roman"/>
          <w:b/>
          <w:bCs/>
          <w:color w:val="auto"/>
          <w:sz w:val="24"/>
          <w:szCs w:val="24"/>
          <w:lang w:val="en-GB"/>
        </w:rPr>
      </w:pPr>
      <w:r w:rsidRPr="006C520E">
        <w:rPr>
          <w:rFonts w:ascii="Times New Roman" w:hAnsi="Times New Roman" w:cs="Times New Roman"/>
          <w:b/>
          <w:bCs/>
          <w:color w:val="auto"/>
          <w:sz w:val="24"/>
          <w:szCs w:val="24"/>
          <w:lang w:val="en-GB"/>
        </w:rPr>
        <w:t>4</w:t>
      </w:r>
      <w:r w:rsidR="00392BC4" w:rsidRPr="006C520E">
        <w:rPr>
          <w:rFonts w:ascii="Times New Roman" w:hAnsi="Times New Roman" w:cs="Times New Roman"/>
          <w:b/>
          <w:bCs/>
          <w:color w:val="auto"/>
          <w:sz w:val="24"/>
          <w:szCs w:val="24"/>
          <w:lang w:val="en-GB"/>
        </w:rPr>
        <w:t xml:space="preserve"> </w:t>
      </w:r>
      <w:r w:rsidR="00551A5F" w:rsidRPr="006C520E">
        <w:rPr>
          <w:rFonts w:ascii="Times New Roman" w:hAnsi="Times New Roman" w:cs="Times New Roman"/>
          <w:b/>
          <w:bCs/>
          <w:color w:val="auto"/>
          <w:sz w:val="24"/>
          <w:szCs w:val="24"/>
          <w:lang w:val="en-GB"/>
        </w:rPr>
        <w:t xml:space="preserve">Empirical </w:t>
      </w:r>
      <w:r w:rsidR="008C051D" w:rsidRPr="006C520E">
        <w:rPr>
          <w:rFonts w:ascii="Times New Roman" w:hAnsi="Times New Roman" w:cs="Times New Roman"/>
          <w:b/>
          <w:bCs/>
          <w:color w:val="auto"/>
          <w:sz w:val="24"/>
          <w:szCs w:val="24"/>
          <w:lang w:val="en-GB"/>
        </w:rPr>
        <w:t>r</w:t>
      </w:r>
      <w:r w:rsidR="00392BC4" w:rsidRPr="006C520E">
        <w:rPr>
          <w:rFonts w:ascii="Times New Roman" w:hAnsi="Times New Roman" w:cs="Times New Roman"/>
          <w:b/>
          <w:bCs/>
          <w:color w:val="auto"/>
          <w:sz w:val="24"/>
          <w:szCs w:val="24"/>
          <w:lang w:val="en-GB"/>
        </w:rPr>
        <w:t xml:space="preserve">esults and </w:t>
      </w:r>
      <w:r w:rsidR="008C051D" w:rsidRPr="006C520E">
        <w:rPr>
          <w:rFonts w:ascii="Times New Roman" w:hAnsi="Times New Roman" w:cs="Times New Roman"/>
          <w:b/>
          <w:bCs/>
          <w:color w:val="auto"/>
          <w:sz w:val="24"/>
          <w:szCs w:val="24"/>
          <w:lang w:val="en-GB"/>
        </w:rPr>
        <w:t>d</w:t>
      </w:r>
      <w:r w:rsidR="00392BC4" w:rsidRPr="006C520E">
        <w:rPr>
          <w:rFonts w:ascii="Times New Roman" w:hAnsi="Times New Roman" w:cs="Times New Roman"/>
          <w:b/>
          <w:bCs/>
          <w:color w:val="auto"/>
          <w:sz w:val="24"/>
          <w:szCs w:val="24"/>
          <w:lang w:val="en-GB"/>
        </w:rPr>
        <w:t>iscussion</w:t>
      </w:r>
    </w:p>
    <w:p w14:paraId="23362C5E" w14:textId="4FCF76D3" w:rsidR="00392BC4" w:rsidRPr="006C520E" w:rsidRDefault="004206D4" w:rsidP="00C55539">
      <w:pPr>
        <w:pStyle w:val="Heading2"/>
        <w:rPr>
          <w:rFonts w:ascii="Garamond" w:hAnsi="Garamond"/>
          <w:i/>
          <w:iCs/>
          <w:color w:val="auto"/>
          <w:sz w:val="24"/>
          <w:szCs w:val="24"/>
        </w:rPr>
      </w:pPr>
      <w:r w:rsidRPr="006C520E">
        <w:rPr>
          <w:rFonts w:ascii="Garamond" w:hAnsi="Garamond"/>
          <w:i/>
          <w:iCs/>
          <w:color w:val="auto"/>
          <w:sz w:val="24"/>
          <w:szCs w:val="24"/>
        </w:rPr>
        <w:t>4</w:t>
      </w:r>
      <w:r w:rsidR="00C55539" w:rsidRPr="006C520E">
        <w:rPr>
          <w:rFonts w:ascii="Garamond" w:hAnsi="Garamond"/>
          <w:i/>
          <w:iCs/>
          <w:color w:val="auto"/>
          <w:sz w:val="24"/>
          <w:szCs w:val="24"/>
        </w:rPr>
        <w:t>.1 Preliminary data analysis</w:t>
      </w:r>
    </w:p>
    <w:p w14:paraId="753A535D" w14:textId="77777777" w:rsidR="00853B56" w:rsidRDefault="00853B56" w:rsidP="00853B56">
      <w:pPr>
        <w:rPr>
          <w:szCs w:val="24"/>
        </w:rPr>
      </w:pPr>
      <w:r w:rsidRPr="00853B56">
        <w:rPr>
          <w:szCs w:val="24"/>
        </w:rPr>
        <w:t>Before estimating the growth model in Equation (1), the stationarity properties of the variables are assessed using the Augmented Dickey-Fuller (ADF), Phillips-Perron (PP), and Kwiatkowski-Phillips-Schmidt-Shin (KPSS) unit root tests. The unit root test results, summarised in Table 2, present mixed outcomes. Specifically, the ADF and PP test results indicate that all variables, except for headline consumer price inflation, become stationary after first differencing. This suggests that the inflation rate is integrated of order zero (</w:t>
      </w:r>
      <w:proofErr w:type="gramStart"/>
      <w:r w:rsidRPr="00853B56">
        <w:rPr>
          <w:szCs w:val="24"/>
        </w:rPr>
        <w:t>I(</w:t>
      </w:r>
      <w:proofErr w:type="gramEnd"/>
      <w:r w:rsidRPr="00853B56">
        <w:rPr>
          <w:szCs w:val="24"/>
        </w:rPr>
        <w:t>0)), while the remaining variables in the model are integrated of order one (I(1)). However, the KPSS test results show that all variables are integrated of order one.</w:t>
      </w:r>
      <w:r>
        <w:rPr>
          <w:szCs w:val="24"/>
        </w:rPr>
        <w:t xml:space="preserve"> </w:t>
      </w:r>
      <w:r w:rsidRPr="00853B56">
        <w:rPr>
          <w:szCs w:val="24"/>
        </w:rPr>
        <w:t xml:space="preserve">Therefore, depending on the test used, the results imply that the variables exhibit a mix of </w:t>
      </w:r>
      <w:proofErr w:type="gramStart"/>
      <w:r w:rsidRPr="00853B56">
        <w:rPr>
          <w:szCs w:val="24"/>
        </w:rPr>
        <w:t>I(</w:t>
      </w:r>
      <w:proofErr w:type="gramEnd"/>
      <w:r w:rsidRPr="00853B56">
        <w:rPr>
          <w:szCs w:val="24"/>
        </w:rPr>
        <w:t>0) and I(1) integration orders. Notably, the ARDL bounds-testing procedure remains robust when the variables have a mixed order of integration, as long as they are not integrated of an order higher than one.</w:t>
      </w:r>
    </w:p>
    <w:p w14:paraId="6D20A68B" w14:textId="6D1FBA48" w:rsidR="00F12578" w:rsidRPr="006C520E" w:rsidRDefault="00F12578" w:rsidP="00853B56">
      <w:pPr>
        <w:jc w:val="center"/>
        <w:rPr>
          <w:szCs w:val="24"/>
        </w:rPr>
      </w:pPr>
      <w:r w:rsidRPr="006C520E">
        <w:rPr>
          <w:szCs w:val="24"/>
        </w:rPr>
        <w:t>&lt;&lt;Table 2 goes here&gt;&gt;</w:t>
      </w:r>
    </w:p>
    <w:p w14:paraId="0806850A" w14:textId="75158F0B" w:rsidR="00392BC4" w:rsidRPr="006C520E" w:rsidRDefault="004206D4" w:rsidP="00551A5F">
      <w:pPr>
        <w:pStyle w:val="Heading2"/>
        <w:spacing w:before="120"/>
        <w:rPr>
          <w:rFonts w:ascii="Garamond" w:hAnsi="Garamond"/>
          <w:i/>
          <w:iCs/>
          <w:color w:val="auto"/>
          <w:sz w:val="24"/>
          <w:szCs w:val="24"/>
        </w:rPr>
      </w:pPr>
      <w:r w:rsidRPr="006C520E">
        <w:rPr>
          <w:rFonts w:ascii="Garamond" w:hAnsi="Garamond"/>
          <w:i/>
          <w:iCs/>
          <w:color w:val="auto"/>
          <w:sz w:val="24"/>
          <w:szCs w:val="24"/>
        </w:rPr>
        <w:t>4</w:t>
      </w:r>
      <w:r w:rsidR="00551A5F" w:rsidRPr="006C520E">
        <w:rPr>
          <w:rFonts w:ascii="Garamond" w:hAnsi="Garamond"/>
          <w:i/>
          <w:iCs/>
          <w:color w:val="auto"/>
          <w:sz w:val="24"/>
          <w:szCs w:val="24"/>
        </w:rPr>
        <w:t xml:space="preserve">.2 </w:t>
      </w:r>
      <w:r w:rsidR="00392BC4" w:rsidRPr="006C520E">
        <w:rPr>
          <w:rFonts w:ascii="Garamond" w:hAnsi="Garamond"/>
          <w:i/>
          <w:iCs/>
          <w:color w:val="auto"/>
          <w:sz w:val="24"/>
          <w:szCs w:val="24"/>
        </w:rPr>
        <w:t xml:space="preserve">Bootstrap ARDL </w:t>
      </w:r>
      <w:r w:rsidR="00551A5F" w:rsidRPr="006C520E">
        <w:rPr>
          <w:rFonts w:ascii="Garamond" w:hAnsi="Garamond"/>
          <w:i/>
          <w:iCs/>
          <w:color w:val="auto"/>
          <w:sz w:val="24"/>
          <w:szCs w:val="24"/>
        </w:rPr>
        <w:t>b</w:t>
      </w:r>
      <w:r w:rsidR="00392BC4" w:rsidRPr="006C520E">
        <w:rPr>
          <w:rFonts w:ascii="Garamond" w:hAnsi="Garamond"/>
          <w:i/>
          <w:iCs/>
          <w:color w:val="auto"/>
          <w:sz w:val="24"/>
          <w:szCs w:val="24"/>
        </w:rPr>
        <w:t xml:space="preserve">ounds-testing </w:t>
      </w:r>
      <w:r w:rsidR="00551A5F" w:rsidRPr="006C520E">
        <w:rPr>
          <w:rFonts w:ascii="Garamond" w:hAnsi="Garamond"/>
          <w:i/>
          <w:iCs/>
          <w:color w:val="auto"/>
          <w:sz w:val="24"/>
          <w:szCs w:val="24"/>
        </w:rPr>
        <w:t>c</w:t>
      </w:r>
      <w:r w:rsidR="00392BC4" w:rsidRPr="006C520E">
        <w:rPr>
          <w:rFonts w:ascii="Garamond" w:hAnsi="Garamond"/>
          <w:i/>
          <w:iCs/>
          <w:color w:val="auto"/>
          <w:sz w:val="24"/>
          <w:szCs w:val="24"/>
        </w:rPr>
        <w:t>ointegration</w:t>
      </w:r>
    </w:p>
    <w:p w14:paraId="24857F6F" w14:textId="4EF3E39B" w:rsidR="00BE0096" w:rsidRPr="006C520E" w:rsidRDefault="00B945ED" w:rsidP="00B945ED">
      <w:pPr>
        <w:rPr>
          <w:szCs w:val="24"/>
        </w:rPr>
      </w:pPr>
      <w:r w:rsidRPr="00B945ED">
        <w:rPr>
          <w:szCs w:val="24"/>
        </w:rPr>
        <w:t>The bootstrap ARDL bounds testing approach is employed to determine the presence or absence of a cointegrating (long-run) relationship between the variables in the specified equation. To ensure robustness, three models are estimated. The first model includes only the variables of interest (oil wealth and the underground economy), the second model replaces the underground economy with the interaction term, and the third model incorporates all the variables of interest (oil revenue, the underground economy) along with their interaction. The results of the bootstrap ARDL bounds testing for the three models are summarised in Table 3.</w:t>
      </w:r>
      <w:r>
        <w:rPr>
          <w:szCs w:val="24"/>
        </w:rPr>
        <w:t xml:space="preserve"> </w:t>
      </w:r>
      <w:r w:rsidRPr="00B945ED">
        <w:rPr>
          <w:szCs w:val="24"/>
        </w:rPr>
        <w:t xml:space="preserve">Overall, the results indicate that the values of the three test statistics exceed the bootstrap-generated critical values at the 1% and/or 5% significance levels. Therefore, there is sufficient evidence to reject the null hypothesis of </w:t>
      </w:r>
      <w:r w:rsidR="00311F6F">
        <w:rPr>
          <w:szCs w:val="24"/>
        </w:rPr>
        <w:t>“</w:t>
      </w:r>
      <w:r w:rsidRPr="00B945ED">
        <w:rPr>
          <w:szCs w:val="24"/>
        </w:rPr>
        <w:t>no cointegrating (long-run) relationship</w:t>
      </w:r>
      <w:r w:rsidR="00311F6F">
        <w:rPr>
          <w:szCs w:val="24"/>
        </w:rPr>
        <w:t>”</w:t>
      </w:r>
      <w:r w:rsidRPr="00B945ED">
        <w:rPr>
          <w:szCs w:val="24"/>
        </w:rPr>
        <w:t xml:space="preserve"> in all three models.</w:t>
      </w:r>
    </w:p>
    <w:p w14:paraId="4245BA7D" w14:textId="579259A2" w:rsidR="00F12578" w:rsidRPr="006C520E" w:rsidRDefault="00F12578" w:rsidP="00BE0096">
      <w:pPr>
        <w:jc w:val="center"/>
        <w:rPr>
          <w:szCs w:val="24"/>
        </w:rPr>
      </w:pPr>
      <w:r w:rsidRPr="006C520E">
        <w:rPr>
          <w:szCs w:val="24"/>
        </w:rPr>
        <w:t>&lt;&lt;Table 3 goes here&gt;&gt;</w:t>
      </w:r>
    </w:p>
    <w:p w14:paraId="094B8BE4" w14:textId="222CB213" w:rsidR="00392BC4" w:rsidRPr="006C520E" w:rsidRDefault="004206D4" w:rsidP="00551A5F">
      <w:pPr>
        <w:pStyle w:val="Heading2"/>
        <w:spacing w:before="120"/>
        <w:rPr>
          <w:rFonts w:ascii="Garamond" w:hAnsi="Garamond"/>
          <w:i/>
          <w:iCs/>
          <w:color w:val="auto"/>
          <w:sz w:val="24"/>
          <w:szCs w:val="24"/>
        </w:rPr>
      </w:pPr>
      <w:bookmarkStart w:id="0" w:name="_Hlk180333109"/>
      <w:r w:rsidRPr="006C520E">
        <w:rPr>
          <w:rFonts w:ascii="Garamond" w:hAnsi="Garamond"/>
          <w:i/>
          <w:iCs/>
          <w:color w:val="auto"/>
          <w:sz w:val="24"/>
          <w:szCs w:val="24"/>
        </w:rPr>
        <w:t>4</w:t>
      </w:r>
      <w:r w:rsidR="00551A5F" w:rsidRPr="006C520E">
        <w:rPr>
          <w:rFonts w:ascii="Garamond" w:hAnsi="Garamond"/>
          <w:i/>
          <w:iCs/>
          <w:color w:val="auto"/>
          <w:sz w:val="24"/>
          <w:szCs w:val="24"/>
        </w:rPr>
        <w:t>.3</w:t>
      </w:r>
      <w:bookmarkEnd w:id="0"/>
      <w:r w:rsidR="00551A5F" w:rsidRPr="006C520E">
        <w:rPr>
          <w:rFonts w:ascii="Garamond" w:hAnsi="Garamond"/>
          <w:i/>
          <w:iCs/>
          <w:color w:val="auto"/>
          <w:sz w:val="24"/>
          <w:szCs w:val="24"/>
        </w:rPr>
        <w:t xml:space="preserve"> E</w:t>
      </w:r>
      <w:r w:rsidR="000B615A" w:rsidRPr="006C520E">
        <w:rPr>
          <w:rFonts w:ascii="Garamond" w:hAnsi="Garamond"/>
          <w:i/>
          <w:iCs/>
          <w:color w:val="auto"/>
          <w:sz w:val="24"/>
          <w:szCs w:val="24"/>
        </w:rPr>
        <w:t xml:space="preserve">stimation </w:t>
      </w:r>
      <w:r w:rsidR="00551A5F" w:rsidRPr="006C520E">
        <w:rPr>
          <w:rFonts w:ascii="Garamond" w:hAnsi="Garamond"/>
          <w:i/>
          <w:iCs/>
          <w:color w:val="auto"/>
          <w:sz w:val="24"/>
          <w:szCs w:val="24"/>
        </w:rPr>
        <w:t>r</w:t>
      </w:r>
      <w:r w:rsidR="00392BC4" w:rsidRPr="006C520E">
        <w:rPr>
          <w:rFonts w:ascii="Garamond" w:hAnsi="Garamond"/>
          <w:i/>
          <w:iCs/>
          <w:color w:val="auto"/>
          <w:sz w:val="24"/>
          <w:szCs w:val="24"/>
        </w:rPr>
        <w:t>esult</w:t>
      </w:r>
      <w:r w:rsidR="002D7266" w:rsidRPr="006C520E">
        <w:rPr>
          <w:rFonts w:ascii="Garamond" w:hAnsi="Garamond"/>
          <w:i/>
          <w:iCs/>
          <w:color w:val="auto"/>
          <w:sz w:val="24"/>
          <w:szCs w:val="24"/>
        </w:rPr>
        <w:t>s</w:t>
      </w:r>
      <w:r w:rsidR="000D4A0E" w:rsidRPr="006C520E">
        <w:rPr>
          <w:rFonts w:ascii="Garamond" w:hAnsi="Garamond"/>
          <w:i/>
          <w:iCs/>
          <w:color w:val="auto"/>
          <w:sz w:val="24"/>
          <w:szCs w:val="24"/>
        </w:rPr>
        <w:t xml:space="preserve"> of the autoregressive distributed lag model</w:t>
      </w:r>
    </w:p>
    <w:p w14:paraId="124E8C56" w14:textId="126A52F2" w:rsidR="008A162A" w:rsidRPr="006C520E" w:rsidRDefault="008A162A" w:rsidP="008A162A">
      <w:pPr>
        <w:rPr>
          <w:szCs w:val="24"/>
        </w:rPr>
      </w:pPr>
      <w:r w:rsidRPr="008A162A">
        <w:rPr>
          <w:szCs w:val="24"/>
        </w:rPr>
        <w:t>After confirming the presence of a cointegrating relationship between the variables across the three different scenarios, the long-run and short-run models of the selected ARDL model are estimated. The results of the long-run estimates, along with the post-estimation diagnostics, are summarised in Table 4, while the short-run estimates are presented in Table 5.</w:t>
      </w:r>
      <w:r>
        <w:rPr>
          <w:szCs w:val="24"/>
        </w:rPr>
        <w:t xml:space="preserve"> </w:t>
      </w:r>
      <w:r w:rsidRPr="008A162A">
        <w:rPr>
          <w:szCs w:val="24"/>
        </w:rPr>
        <w:t xml:space="preserve">Starting with the assessment of the adequacy and reliability of the estimation results, the post-estimation diagnostics summarised in Panel </w:t>
      </w:r>
      <w:r w:rsidRPr="008A162A">
        <w:rPr>
          <w:szCs w:val="24"/>
        </w:rPr>
        <w:lastRenderedPageBreak/>
        <w:t>B of Table 4 indicate that all specifications are free from issues related to serial correlation, heteroscedasticity, and specification bias. Furthermore, the cumulative sum of recursive residuals (CUSUM) and cumulative sum of squares of recursive residuals (CUSUMSQ) plots</w:t>
      </w:r>
      <w:r w:rsidR="00B55CEF" w:rsidRPr="006C520E">
        <w:rPr>
          <w:rStyle w:val="FootnoteReference"/>
          <w:szCs w:val="24"/>
        </w:rPr>
        <w:footnoteReference w:id="3"/>
      </w:r>
      <w:r w:rsidR="00B55CEF">
        <w:rPr>
          <w:szCs w:val="24"/>
        </w:rPr>
        <w:t xml:space="preserve"> of </w:t>
      </w:r>
      <w:r w:rsidRPr="008A162A">
        <w:rPr>
          <w:szCs w:val="24"/>
        </w:rPr>
        <w:t>Brown et al. (1975), confirm the stability of the estimated model parameters. The non-normality of the residuals across all three models, as indicated by the Jarque-</w:t>
      </w:r>
      <w:proofErr w:type="spellStart"/>
      <w:r w:rsidRPr="008A162A">
        <w:rPr>
          <w:szCs w:val="24"/>
        </w:rPr>
        <w:t>Bera</w:t>
      </w:r>
      <w:proofErr w:type="spellEnd"/>
      <w:r w:rsidRPr="008A162A">
        <w:rPr>
          <w:szCs w:val="24"/>
        </w:rPr>
        <w:t xml:space="preserve"> statistics, is not coincidental. Evidence suggests that such issues often arise in estimations based on finite sample sizes (David et al., 2024, 2025).</w:t>
      </w:r>
      <w:r w:rsidR="00B55CEF">
        <w:rPr>
          <w:szCs w:val="24"/>
        </w:rPr>
        <w:t xml:space="preserve"> </w:t>
      </w:r>
      <w:r w:rsidRPr="008A162A">
        <w:rPr>
          <w:szCs w:val="24"/>
        </w:rPr>
        <w:t xml:space="preserve">As expected, in all three specifications, the error correction term </w:t>
      </w:r>
      <w:r w:rsidR="00B55CEF" w:rsidRPr="006C520E">
        <w:rPr>
          <w:szCs w:val="24"/>
        </w:rPr>
        <w:t>(</w:t>
      </w:r>
      <m:oMath>
        <m:r>
          <w:rPr>
            <w:rFonts w:ascii="Cambria Math" w:hAnsi="Cambria Math"/>
            <w:szCs w:val="24"/>
          </w:rPr>
          <m:t>φ</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t-1</m:t>
            </m:r>
          </m:sub>
        </m:sSub>
      </m:oMath>
      <w:r w:rsidR="00B55CEF" w:rsidRPr="006C520E">
        <w:rPr>
          <w:szCs w:val="24"/>
        </w:rPr>
        <w:t>)</w:t>
      </w:r>
      <w:r w:rsidRPr="008A162A">
        <w:rPr>
          <w:szCs w:val="24"/>
        </w:rPr>
        <w:t>, which represents the speed of adjustment from short-run disequilibrium to long-run equilibrium, is negative, less than one, and statistically significant at the 1% level. This not only reinforces the presence of cointegration between the series but also indicates the speed at which disequilibrium is corrected: approximately 1.12%, 0.76%, or 2.03% of the short-term disequilibrium is adjusted within a quarter, based on specifications I, II, or III, respectively.</w:t>
      </w:r>
    </w:p>
    <w:p w14:paraId="7C6C64D1" w14:textId="77777777" w:rsidR="00F873F5" w:rsidRPr="006C520E" w:rsidRDefault="00F873F5" w:rsidP="00F873F5">
      <w:pPr>
        <w:jc w:val="center"/>
        <w:rPr>
          <w:szCs w:val="24"/>
        </w:rPr>
      </w:pPr>
      <w:r w:rsidRPr="006C520E">
        <w:rPr>
          <w:szCs w:val="24"/>
        </w:rPr>
        <w:t>&lt;&lt;Table 4 goes here&gt;&gt;</w:t>
      </w:r>
    </w:p>
    <w:p w14:paraId="7A6B97C3" w14:textId="6FF14A45" w:rsidR="00264CBB" w:rsidRDefault="00264CBB" w:rsidP="003126C3">
      <w:r>
        <w:t xml:space="preserve">Focusing on the long-run estimates in the second column of Table 4, the results show that oil revenue has a significant long-term impact on economic growth, while the relationship between the underground economy and economic growth is negative and significant at the 1% level. </w:t>
      </w:r>
      <w:r w:rsidRPr="00264CBB">
        <w:rPr>
          <w:highlight w:val="yellow"/>
        </w:rPr>
        <w:t>The corresponding short-run estimates in panel A of Table 5 reveal that the immediate effects of oil revenue and the underground economy on economic growth are positive and statistically significant. However, the coefficients of lagged oil revenue and the underground economy are negative.</w:t>
      </w:r>
    </w:p>
    <w:p w14:paraId="12A2DF9A" w14:textId="78FD00B3" w:rsidR="00264CBB" w:rsidRDefault="00264CBB" w:rsidP="00264CBB">
      <w:pPr>
        <w:rPr>
          <w:szCs w:val="24"/>
        </w:rPr>
      </w:pPr>
      <w:r w:rsidRPr="00264CBB">
        <w:rPr>
          <w:szCs w:val="24"/>
          <w:highlight w:val="yellow"/>
        </w:rPr>
        <w:t>While the immediate and long-term impacts of rising oil revenue are positive, the negative effect of oil revenue on growth in previous periods can be attributed to the volatility of the commodity, which accounts for over 70% of public revenue. This finding is crucial, as a series of negative shocks to oil revenue in recent years has constrained public finances, increased fiscal deficits and debt, and raised concerns about the country’s fiscal sustainability and long-term growth prospects. The short-term positive impact of the underground economy on growth may be linked to its role in creating jobs, alleviating poverty, reducing income inequality, and serving as an informal safety net during economic volatility, thereby reducing social pressure on the state and stimulating the economy (</w:t>
      </w:r>
      <w:proofErr w:type="spellStart"/>
      <w:r w:rsidRPr="00264CBB">
        <w:rPr>
          <w:szCs w:val="24"/>
          <w:highlight w:val="yellow"/>
        </w:rPr>
        <w:t>Ajide</w:t>
      </w:r>
      <w:proofErr w:type="spellEnd"/>
      <w:r w:rsidRPr="00264CBB">
        <w:rPr>
          <w:szCs w:val="24"/>
          <w:highlight w:val="yellow"/>
        </w:rPr>
        <w:t xml:space="preserve"> &amp; Dada, 2024; </w:t>
      </w:r>
      <w:proofErr w:type="spellStart"/>
      <w:r w:rsidRPr="00264CBB">
        <w:rPr>
          <w:szCs w:val="24"/>
          <w:highlight w:val="yellow"/>
        </w:rPr>
        <w:t>Ajide</w:t>
      </w:r>
      <w:proofErr w:type="spellEnd"/>
      <w:r w:rsidRPr="00264CBB">
        <w:rPr>
          <w:szCs w:val="24"/>
          <w:highlight w:val="yellow"/>
        </w:rPr>
        <w:t xml:space="preserve"> et al., 2024; Dada et al., 2024; Ishak &amp; </w:t>
      </w:r>
      <w:proofErr w:type="spellStart"/>
      <w:r w:rsidRPr="00264CBB">
        <w:rPr>
          <w:szCs w:val="24"/>
          <w:highlight w:val="yellow"/>
        </w:rPr>
        <w:t>Farzanegan</w:t>
      </w:r>
      <w:proofErr w:type="spellEnd"/>
      <w:r w:rsidRPr="00264CBB">
        <w:rPr>
          <w:szCs w:val="24"/>
          <w:highlight w:val="yellow"/>
        </w:rPr>
        <w:t xml:space="preserve">, 2022; </w:t>
      </w:r>
      <w:proofErr w:type="spellStart"/>
      <w:r w:rsidRPr="00264CBB">
        <w:rPr>
          <w:szCs w:val="24"/>
          <w:highlight w:val="yellow"/>
        </w:rPr>
        <w:t>Sakanko</w:t>
      </w:r>
      <w:proofErr w:type="spellEnd"/>
      <w:r w:rsidRPr="00264CBB">
        <w:rPr>
          <w:szCs w:val="24"/>
          <w:highlight w:val="yellow"/>
        </w:rPr>
        <w:t xml:space="preserve"> et al., 2024). However, its negative long-term impact on growth may be explained by the </w:t>
      </w:r>
      <w:r>
        <w:rPr>
          <w:szCs w:val="24"/>
          <w:highlight w:val="yellow"/>
        </w:rPr>
        <w:t>“</w:t>
      </w:r>
      <w:r w:rsidRPr="00264CBB">
        <w:rPr>
          <w:szCs w:val="24"/>
          <w:highlight w:val="yellow"/>
        </w:rPr>
        <w:t>destructive cycle</w:t>
      </w:r>
      <w:r>
        <w:rPr>
          <w:szCs w:val="24"/>
          <w:highlight w:val="yellow"/>
        </w:rPr>
        <w:t>”</w:t>
      </w:r>
      <w:r w:rsidRPr="00264CBB">
        <w:rPr>
          <w:szCs w:val="24"/>
          <w:highlight w:val="yellow"/>
        </w:rPr>
        <w:t xml:space="preserve"> it initiates, including reduced tax revenue, inefficiencies in public policies, and distortions in resource allocation, which significantly outweigh any perceived short-term benefits (</w:t>
      </w:r>
      <w:proofErr w:type="spellStart"/>
      <w:r w:rsidRPr="00264CBB">
        <w:rPr>
          <w:szCs w:val="24"/>
          <w:highlight w:val="yellow"/>
        </w:rPr>
        <w:t>Sakanko</w:t>
      </w:r>
      <w:proofErr w:type="spellEnd"/>
      <w:r w:rsidRPr="00264CBB">
        <w:rPr>
          <w:szCs w:val="24"/>
          <w:highlight w:val="yellow"/>
        </w:rPr>
        <w:t xml:space="preserve"> et al., 2024).</w:t>
      </w:r>
      <w:r>
        <w:rPr>
          <w:szCs w:val="24"/>
        </w:rPr>
        <w:t xml:space="preserve"> </w:t>
      </w:r>
      <w:r>
        <w:t xml:space="preserve">These findings are consistent with other studies (see Abubakar &amp; </w:t>
      </w:r>
      <w:proofErr w:type="spellStart"/>
      <w:r>
        <w:t>Akadiri</w:t>
      </w:r>
      <w:proofErr w:type="spellEnd"/>
      <w:r>
        <w:t xml:space="preserve">, 2022; </w:t>
      </w:r>
      <w:r w:rsidRPr="003F6899">
        <w:rPr>
          <w:highlight w:val="yellow"/>
        </w:rPr>
        <w:t xml:space="preserve">Dada &amp; </w:t>
      </w:r>
      <w:proofErr w:type="spellStart"/>
      <w:r w:rsidRPr="003F6899">
        <w:rPr>
          <w:highlight w:val="yellow"/>
        </w:rPr>
        <w:t>Abanikanda</w:t>
      </w:r>
      <w:proofErr w:type="spellEnd"/>
      <w:r w:rsidRPr="003F6899">
        <w:rPr>
          <w:highlight w:val="yellow"/>
        </w:rPr>
        <w:t>, 2019</w:t>
      </w:r>
      <w:r>
        <w:t xml:space="preserve">; David et al., 2024; </w:t>
      </w:r>
      <w:proofErr w:type="spellStart"/>
      <w:r>
        <w:t>Inuwa</w:t>
      </w:r>
      <w:proofErr w:type="spellEnd"/>
      <w:r>
        <w:t xml:space="preserve"> et al., 2022) that document a significant positive long-term and short-term impact of oil revenue on output in Nigeria, as well as evidence of a long-term negative effect and short-term positive effect of the underground economy on growth (see Goel et al., 2018; Nguyen &amp; Duong, 2021; Nguyen &amp; Luong, 2020; Younas et al., 2022).</w:t>
      </w:r>
    </w:p>
    <w:p w14:paraId="33F980E4" w14:textId="4D28CDF5" w:rsidR="00386E00" w:rsidRPr="006C520E" w:rsidRDefault="00386E00" w:rsidP="00386E00">
      <w:pPr>
        <w:rPr>
          <w:szCs w:val="24"/>
        </w:rPr>
      </w:pPr>
      <w:r w:rsidRPr="00386E00">
        <w:rPr>
          <w:szCs w:val="24"/>
        </w:rPr>
        <w:t xml:space="preserve">In column II of Table 4, where only oil revenue and the interaction term are included in the specification, the results show that the long-term impact of oil revenue on economic growth is significant and positive, </w:t>
      </w:r>
      <w:r w:rsidRPr="006C520E">
        <w:rPr>
          <w:szCs w:val="24"/>
        </w:rPr>
        <w:t>while the interaction term enter</w:t>
      </w:r>
      <w:r>
        <w:rPr>
          <w:szCs w:val="24"/>
        </w:rPr>
        <w:t xml:space="preserve"> the model</w:t>
      </w:r>
      <w:r w:rsidRPr="006C520E">
        <w:rPr>
          <w:szCs w:val="24"/>
        </w:rPr>
        <w:t xml:space="preserve"> with a significant negative coefficient</w:t>
      </w:r>
      <w:r w:rsidRPr="00386E00">
        <w:rPr>
          <w:szCs w:val="24"/>
        </w:rPr>
        <w:t xml:space="preserve">. In contrast, the short-run estimates in Table 5 indicate that oil revenue has an immediate negative effect on economic growth, whereas the </w:t>
      </w:r>
      <w:r w:rsidR="00ED6290" w:rsidRPr="006C520E">
        <w:rPr>
          <w:szCs w:val="24"/>
        </w:rPr>
        <w:t>coefficient of the interaction term is positive</w:t>
      </w:r>
      <w:r w:rsidR="00ED6290">
        <w:rPr>
          <w:szCs w:val="24"/>
        </w:rPr>
        <w:t xml:space="preserve"> and statistically significant</w:t>
      </w:r>
      <w:r w:rsidRPr="00386E00">
        <w:rPr>
          <w:szCs w:val="24"/>
        </w:rPr>
        <w:t>.</w:t>
      </w:r>
      <w:r>
        <w:rPr>
          <w:szCs w:val="24"/>
        </w:rPr>
        <w:t xml:space="preserve"> </w:t>
      </w:r>
      <w:r w:rsidRPr="00386E00">
        <w:rPr>
          <w:szCs w:val="24"/>
        </w:rPr>
        <w:t xml:space="preserve">The results suggest that an increase in oil revenue leads to a short-term decline in economic growth by 0.011 percentage points. However, in the long run, economic growth responds positively to the increase in oil revenue, expanding by 0.649 percentage points. The negative </w:t>
      </w:r>
      <w:r w:rsidRPr="00386E00">
        <w:rPr>
          <w:szCs w:val="24"/>
        </w:rPr>
        <w:lastRenderedPageBreak/>
        <w:t>coefficient of the interaction term implies that a simultaneous increase in both oil revenue and the underground economy would result in a deceleration of economic performance by 0.01 percentage points.</w:t>
      </w:r>
    </w:p>
    <w:p w14:paraId="6AAF115A" w14:textId="012B8F18" w:rsidR="00ED6290" w:rsidRPr="006C520E" w:rsidRDefault="00ED6290" w:rsidP="00ED6290">
      <w:pPr>
        <w:rPr>
          <w:szCs w:val="24"/>
        </w:rPr>
      </w:pPr>
      <w:r w:rsidRPr="00ED6290">
        <w:rPr>
          <w:szCs w:val="24"/>
        </w:rPr>
        <w:t>In the third model, oil revenue, the underground economy, and their interaction term are included in the specification. The long-run results in Table 4 indicate that the coefficient of oil revenue is positive and significant at the 1% level, while the underground economy and the interaction term have negative and significant coefficients. Conversely, the short-run results in Panel C of Table 5 show that the coefficients for oil revenue, the underground economy, and their interaction are all positive.</w:t>
      </w:r>
      <w:r>
        <w:rPr>
          <w:szCs w:val="24"/>
        </w:rPr>
        <w:t xml:space="preserve"> </w:t>
      </w:r>
      <w:r w:rsidRPr="00ED6290">
        <w:rPr>
          <w:szCs w:val="24"/>
        </w:rPr>
        <w:t>Including both oil revenue and the underground economy, along with their interaction, in the specification reduces the magnitude of the coefficients for both the long- and short-run estimates and weakens the statistical significance of the short-run estimates. In the short run, only the interaction term remains significant, at the 10% level.</w:t>
      </w:r>
    </w:p>
    <w:p w14:paraId="1C48939E" w14:textId="31E2A16D" w:rsidR="00C5352F" w:rsidRPr="006C520E" w:rsidRDefault="00B05B91" w:rsidP="00F873F5">
      <w:pPr>
        <w:rPr>
          <w:szCs w:val="24"/>
        </w:rPr>
      </w:pPr>
      <w:r>
        <w:t>Given that the signs of the estimated coefficients (for oil revenue and the interaction term) differ, it is imperative to determine the marginal effect within the sample using the estimated long-run coefficients in Column II as follows:</w:t>
      </w:r>
    </w:p>
    <w:tbl>
      <w:tblPr>
        <w:tblW w:w="5000" w:type="pct"/>
        <w:tblLook w:val="04A0" w:firstRow="1" w:lastRow="0" w:firstColumn="1" w:lastColumn="0" w:noHBand="0" w:noVBand="1"/>
      </w:tblPr>
      <w:tblGrid>
        <w:gridCol w:w="897"/>
        <w:gridCol w:w="7568"/>
        <w:gridCol w:w="895"/>
      </w:tblGrid>
      <w:tr w:rsidR="007419DE" w:rsidRPr="006C520E" w14:paraId="0A998F20" w14:textId="77777777" w:rsidTr="004929CA">
        <w:tc>
          <w:tcPr>
            <w:tcW w:w="479" w:type="pct"/>
            <w:vAlign w:val="center"/>
          </w:tcPr>
          <w:p w14:paraId="2A4F956A" w14:textId="77777777" w:rsidR="007419DE" w:rsidRPr="006C520E" w:rsidRDefault="007419DE" w:rsidP="004929CA">
            <w:pPr>
              <w:spacing w:before="120"/>
              <w:rPr>
                <w:szCs w:val="24"/>
              </w:rPr>
            </w:pPr>
          </w:p>
        </w:tc>
        <w:tc>
          <w:tcPr>
            <w:tcW w:w="4043" w:type="pct"/>
            <w:vAlign w:val="center"/>
            <w:hideMark/>
          </w:tcPr>
          <w:p w14:paraId="4A23D0C2" w14:textId="0CB859E2" w:rsidR="00F24B8A" w:rsidRPr="006C520E" w:rsidRDefault="00000000" w:rsidP="004929CA">
            <w:pPr>
              <w:spacing w:before="120"/>
              <w:rPr>
                <w:rFonts w:eastAsiaTheme="minorEastAsia"/>
                <w:szCs w:val="24"/>
                <w:lang w:bidi="en-US"/>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oil</m:t>
                        </m:r>
                      </m:e>
                      <m:sub>
                        <m:r>
                          <w:rPr>
                            <w:rFonts w:ascii="Cambria Math" w:hAnsi="Cambria Math"/>
                            <w:szCs w:val="24"/>
                          </w:rPr>
                          <m:t>t</m:t>
                        </m:r>
                      </m:sub>
                    </m:sSub>
                  </m:den>
                </m:f>
                <m:r>
                  <w:rPr>
                    <w:rFonts w:ascii="Cambria Math" w:hAnsi="Cambria Math"/>
                    <w:szCs w:val="24"/>
                  </w:rPr>
                  <m:t>=</m:t>
                </m:r>
                <m:r>
                  <m:rPr>
                    <m:sty m:val="p"/>
                  </m:rPr>
                  <w:rPr>
                    <w:rFonts w:ascii="Cambria Math" w:hAnsi="Cambria Math" w:cs="Times New Roman"/>
                    <w:szCs w:val="24"/>
                  </w:rPr>
                  <m:t>0.6497-0.0103</m:t>
                </m:r>
                <m:r>
                  <w:rPr>
                    <w:rFonts w:ascii="Cambria Math" w:hAnsi="Cambria Math"/>
                    <w:szCs w:val="24"/>
                    <w:lang w:bidi="en-US"/>
                  </w:rPr>
                  <m:t>u</m:t>
                </m:r>
                <m:sSub>
                  <m:sSubPr>
                    <m:ctrlPr>
                      <w:rPr>
                        <w:rFonts w:ascii="Cambria Math" w:hAnsi="Cambria Math"/>
                        <w:i/>
                        <w:szCs w:val="24"/>
                        <w:lang w:bidi="en-US"/>
                      </w:rPr>
                    </m:ctrlPr>
                  </m:sSubPr>
                  <m:e>
                    <m:r>
                      <w:rPr>
                        <w:rFonts w:ascii="Cambria Math" w:hAnsi="Cambria Math"/>
                        <w:szCs w:val="24"/>
                        <w:lang w:bidi="en-US"/>
                      </w:rPr>
                      <m:t>e</m:t>
                    </m:r>
                  </m:e>
                  <m:sub>
                    <m:r>
                      <w:rPr>
                        <w:rFonts w:ascii="Cambria Math" w:hAnsi="Cambria Math"/>
                        <w:szCs w:val="24"/>
                        <w:lang w:bidi="en-US"/>
                      </w:rPr>
                      <m:t>t</m:t>
                    </m:r>
                  </m:sub>
                </m:sSub>
              </m:oMath>
            </m:oMathPara>
          </w:p>
        </w:tc>
        <w:tc>
          <w:tcPr>
            <w:tcW w:w="478" w:type="pct"/>
            <w:vAlign w:val="center"/>
            <w:hideMark/>
          </w:tcPr>
          <w:p w14:paraId="5B0C86BB" w14:textId="5F7F541E" w:rsidR="007419DE" w:rsidRPr="006C520E" w:rsidRDefault="007419DE" w:rsidP="004929CA">
            <w:pPr>
              <w:spacing w:before="120"/>
              <w:jc w:val="right"/>
              <w:rPr>
                <w:szCs w:val="24"/>
              </w:rPr>
            </w:pPr>
          </w:p>
        </w:tc>
      </w:tr>
    </w:tbl>
    <w:p w14:paraId="56492267" w14:textId="257FCE41" w:rsidR="008C170E" w:rsidRPr="006C520E" w:rsidRDefault="008C170E" w:rsidP="008A0184">
      <w:pPr>
        <w:spacing w:before="240"/>
        <w:rPr>
          <w:szCs w:val="24"/>
        </w:rPr>
      </w:pPr>
      <w:r w:rsidRPr="008C170E">
        <w:rPr>
          <w:szCs w:val="24"/>
        </w:rPr>
        <w:t xml:space="preserve">The marginal effects of oil revenue (relative to GDP) on economic growth, computed at the mean (55.915), minimum (47.149), and maximum (64.503) levels of the underground economy (as a percentage of GDP), are 0.0761, 0.1666, and -0.0120, respectively. This implies that a unit increase in oil revenue would spur economic growth by approximately </w:t>
      </w:r>
      <w:r w:rsidR="008A0184">
        <w:rPr>
          <w:szCs w:val="24"/>
        </w:rPr>
        <w:t>0</w:t>
      </w:r>
      <w:r w:rsidRPr="008C170E">
        <w:rPr>
          <w:szCs w:val="24"/>
        </w:rPr>
        <w:t xml:space="preserve">.0761% and 0.1666% at the average and minimum levels of the underground economy, respectively. However, at the maximum level of the underground economy, a unit increase would lead to a deceleration in economic growth by approximately 0.0120 percentage points. Therefore, it is </w:t>
      </w:r>
      <w:r w:rsidR="008A0184">
        <w:rPr>
          <w:szCs w:val="24"/>
        </w:rPr>
        <w:t>indicative</w:t>
      </w:r>
      <w:r w:rsidRPr="008C170E">
        <w:rPr>
          <w:szCs w:val="24"/>
        </w:rPr>
        <w:t xml:space="preserve"> that an increase in oil revenue, coupled with a reduction in the size of the underground economy, is imperative for sustained long-term economic growth. The simultaneous increase in both oil revenue and the size of the underground economy is likely to result in economic slowdown.</w:t>
      </w:r>
    </w:p>
    <w:p w14:paraId="3DD4FFEE" w14:textId="058100EB" w:rsidR="00C5352F" w:rsidRPr="006C520E" w:rsidRDefault="00C5352F" w:rsidP="008C5940">
      <w:pPr>
        <w:jc w:val="center"/>
        <w:rPr>
          <w:szCs w:val="24"/>
        </w:rPr>
      </w:pPr>
      <w:r w:rsidRPr="006C520E">
        <w:rPr>
          <w:szCs w:val="24"/>
        </w:rPr>
        <w:t>&lt;&lt;Table 5 goes here&gt;&gt;</w:t>
      </w:r>
    </w:p>
    <w:p w14:paraId="74D5A808" w14:textId="37222C67" w:rsidR="00D2596A" w:rsidRPr="006C520E" w:rsidRDefault="00305448" w:rsidP="00EC681F">
      <w:pPr>
        <w:rPr>
          <w:szCs w:val="24"/>
        </w:rPr>
      </w:pPr>
      <w:r>
        <w:t xml:space="preserve">Regarding the control variables in all three specifications, the long-run results indicate that public debt, fiscal balance, access to electricity, and the inflation rate are negatively related to long-term growth. In contrast, the long-term impacts of domestic investment and exchange rates on growth are positive and significant. Interestingly, these outcomes are consistent with existing studies (see </w:t>
      </w:r>
      <w:r w:rsidR="00314010">
        <w:t xml:space="preserve">David, 2024; </w:t>
      </w:r>
      <w:r>
        <w:t xml:space="preserve">David et al., 2024; </w:t>
      </w:r>
      <w:proofErr w:type="spellStart"/>
      <w:r>
        <w:t>Ehigiamusoe</w:t>
      </w:r>
      <w:proofErr w:type="spellEnd"/>
      <w:r>
        <w:t xml:space="preserve"> et al., 2019; </w:t>
      </w:r>
      <w:proofErr w:type="spellStart"/>
      <w:r>
        <w:t>Ehigiamusoe</w:t>
      </w:r>
      <w:proofErr w:type="spellEnd"/>
      <w:r>
        <w:t xml:space="preserve"> &amp; Lean, 2020; </w:t>
      </w:r>
      <w:proofErr w:type="spellStart"/>
      <w:r>
        <w:t>Eregha</w:t>
      </w:r>
      <w:proofErr w:type="spellEnd"/>
      <w:r>
        <w:t xml:space="preserve"> &amp; </w:t>
      </w:r>
      <w:proofErr w:type="spellStart"/>
      <w:r>
        <w:t>Mesagan</w:t>
      </w:r>
      <w:proofErr w:type="spellEnd"/>
      <w:r>
        <w:t xml:space="preserve">, 2020; </w:t>
      </w:r>
      <w:proofErr w:type="spellStart"/>
      <w:r>
        <w:t>Olayungbo</w:t>
      </w:r>
      <w:proofErr w:type="spellEnd"/>
      <w:r>
        <w:t xml:space="preserve"> &amp; </w:t>
      </w:r>
      <w:proofErr w:type="spellStart"/>
      <w:r>
        <w:t>Adediran</w:t>
      </w:r>
      <w:proofErr w:type="spellEnd"/>
      <w:r>
        <w:t>, 2017).</w:t>
      </w:r>
    </w:p>
    <w:p w14:paraId="0345A673" w14:textId="63527EA8" w:rsidR="00571987" w:rsidRPr="006C520E" w:rsidRDefault="004206D4" w:rsidP="00571987">
      <w:pPr>
        <w:pStyle w:val="Heading2"/>
        <w:spacing w:before="120"/>
        <w:rPr>
          <w:rFonts w:ascii="Garamond" w:hAnsi="Garamond"/>
          <w:i/>
          <w:iCs/>
          <w:color w:val="auto"/>
          <w:sz w:val="24"/>
          <w:szCs w:val="24"/>
        </w:rPr>
      </w:pPr>
      <w:r w:rsidRPr="006C520E">
        <w:rPr>
          <w:rFonts w:ascii="Garamond" w:hAnsi="Garamond"/>
          <w:i/>
          <w:iCs/>
          <w:color w:val="auto"/>
          <w:sz w:val="24"/>
          <w:szCs w:val="24"/>
        </w:rPr>
        <w:t>4</w:t>
      </w:r>
      <w:r w:rsidR="00571987" w:rsidRPr="006C520E">
        <w:rPr>
          <w:rFonts w:ascii="Garamond" w:hAnsi="Garamond"/>
          <w:i/>
          <w:iCs/>
          <w:color w:val="auto"/>
          <w:sz w:val="24"/>
          <w:szCs w:val="24"/>
        </w:rPr>
        <w:t xml:space="preserve">.4 </w:t>
      </w:r>
      <w:r w:rsidR="008462DF" w:rsidRPr="006C520E">
        <w:rPr>
          <w:rFonts w:ascii="Garamond" w:hAnsi="Garamond"/>
          <w:i/>
          <w:iCs/>
          <w:color w:val="auto"/>
          <w:sz w:val="24"/>
          <w:szCs w:val="24"/>
        </w:rPr>
        <w:t>Oil</w:t>
      </w:r>
      <w:r w:rsidR="00CD4B79" w:rsidRPr="006C520E">
        <w:rPr>
          <w:rFonts w:ascii="Garamond" w:hAnsi="Garamond"/>
          <w:i/>
          <w:iCs/>
          <w:color w:val="auto"/>
          <w:sz w:val="24"/>
          <w:szCs w:val="24"/>
        </w:rPr>
        <w:t xml:space="preserve">, growth </w:t>
      </w:r>
      <w:r w:rsidR="008462DF" w:rsidRPr="006C520E">
        <w:rPr>
          <w:rFonts w:ascii="Garamond" w:hAnsi="Garamond"/>
          <w:i/>
          <w:iCs/>
          <w:color w:val="auto"/>
          <w:sz w:val="24"/>
          <w:szCs w:val="24"/>
        </w:rPr>
        <w:t>and the underground economy: policy implications</w:t>
      </w:r>
    </w:p>
    <w:p w14:paraId="392B54BD" w14:textId="6CDD5F78" w:rsidR="00FD5EF5" w:rsidRDefault="00FD5EF5" w:rsidP="00FD5EF5">
      <w:pPr>
        <w:rPr>
          <w:szCs w:val="24"/>
        </w:rPr>
      </w:pPr>
      <w:r w:rsidRPr="00FD5EF5">
        <w:rPr>
          <w:szCs w:val="24"/>
        </w:rPr>
        <w:t>The findings from this study are quite revealing and carry important policy implications, which can be summari</w:t>
      </w:r>
      <w:r>
        <w:rPr>
          <w:szCs w:val="24"/>
        </w:rPr>
        <w:t>s</w:t>
      </w:r>
      <w:r w:rsidRPr="00FD5EF5">
        <w:rPr>
          <w:szCs w:val="24"/>
        </w:rPr>
        <w:t xml:space="preserve">ed as follows. First, regardless of the specification, oil revenue has a significant positive long-run impact on economic growth. This corroborates several existing studies (see Abubakar and </w:t>
      </w:r>
      <w:proofErr w:type="spellStart"/>
      <w:r w:rsidRPr="00FD5EF5">
        <w:rPr>
          <w:szCs w:val="24"/>
        </w:rPr>
        <w:t>Akadiri</w:t>
      </w:r>
      <w:proofErr w:type="spellEnd"/>
      <w:r w:rsidRPr="00FD5EF5">
        <w:rPr>
          <w:szCs w:val="24"/>
        </w:rPr>
        <w:t xml:space="preserve">, 2022; </w:t>
      </w:r>
      <w:r w:rsidRPr="00FD5EF5">
        <w:rPr>
          <w:szCs w:val="24"/>
          <w:highlight w:val="yellow"/>
        </w:rPr>
        <w:t xml:space="preserve">Dada &amp; </w:t>
      </w:r>
      <w:proofErr w:type="spellStart"/>
      <w:r w:rsidRPr="00FD5EF5">
        <w:rPr>
          <w:szCs w:val="24"/>
          <w:highlight w:val="yellow"/>
        </w:rPr>
        <w:t>Abanikanda</w:t>
      </w:r>
      <w:proofErr w:type="spellEnd"/>
      <w:r w:rsidRPr="00FD5EF5">
        <w:rPr>
          <w:szCs w:val="24"/>
          <w:highlight w:val="yellow"/>
        </w:rPr>
        <w:t>, 2019;</w:t>
      </w:r>
      <w:r w:rsidRPr="00FD5EF5">
        <w:rPr>
          <w:szCs w:val="24"/>
        </w:rPr>
        <w:t xml:space="preserve"> </w:t>
      </w:r>
      <w:proofErr w:type="spellStart"/>
      <w:r w:rsidRPr="00FD5EF5">
        <w:rPr>
          <w:szCs w:val="24"/>
        </w:rPr>
        <w:t>Inuwa</w:t>
      </w:r>
      <w:proofErr w:type="spellEnd"/>
      <w:r w:rsidRPr="00FD5EF5">
        <w:rPr>
          <w:szCs w:val="24"/>
        </w:rPr>
        <w:t xml:space="preserve"> et al., 2022; </w:t>
      </w:r>
      <w:proofErr w:type="spellStart"/>
      <w:r w:rsidRPr="00FD5EF5">
        <w:rPr>
          <w:szCs w:val="24"/>
        </w:rPr>
        <w:t>Olayungbo</w:t>
      </w:r>
      <w:proofErr w:type="spellEnd"/>
      <w:r w:rsidRPr="00FD5EF5">
        <w:rPr>
          <w:szCs w:val="24"/>
        </w:rPr>
        <w:t xml:space="preserve"> &amp; </w:t>
      </w:r>
      <w:proofErr w:type="spellStart"/>
      <w:r w:rsidRPr="00FD5EF5">
        <w:rPr>
          <w:szCs w:val="24"/>
        </w:rPr>
        <w:t>Adediran</w:t>
      </w:r>
      <w:proofErr w:type="spellEnd"/>
      <w:r w:rsidRPr="00FD5EF5">
        <w:rPr>
          <w:szCs w:val="24"/>
        </w:rPr>
        <w:t>, 2017; Rotimi et al., 2021).</w:t>
      </w:r>
      <w:r>
        <w:rPr>
          <w:szCs w:val="24"/>
        </w:rPr>
        <w:t xml:space="preserve"> </w:t>
      </w:r>
      <w:r w:rsidRPr="00FD5EF5">
        <w:rPr>
          <w:szCs w:val="24"/>
        </w:rPr>
        <w:t xml:space="preserve">Thus, the policy implication of these findings is that governments in oil-rich countries should implement policies and reforms aimed at increasing revenue from oil sales. Such actions may include instituting reforms in the oil and gas sector, removing bureaucratic bottlenecks, adopting new technologies in oil extraction, upgrading oil infrastructure, and eliminating corrupt practices in the </w:t>
      </w:r>
      <w:r w:rsidRPr="00FD5EF5">
        <w:rPr>
          <w:szCs w:val="24"/>
        </w:rPr>
        <w:lastRenderedPageBreak/>
        <w:t>industry.</w:t>
      </w:r>
      <w:r>
        <w:rPr>
          <w:szCs w:val="24"/>
        </w:rPr>
        <w:t xml:space="preserve"> </w:t>
      </w:r>
      <w:r w:rsidRPr="00FD5EF5">
        <w:rPr>
          <w:szCs w:val="24"/>
        </w:rPr>
        <w:t>However, caution should be exercised to avoid a situation where all attention and resources are channelled into the oil and gas sector to the detriment of other sectors of the economy, as this could have far-reaching consequences. Moreover, given the volatile nature of oil prices, the establishment of a sovereign wealth fund (SWF) by the government to mobili</w:t>
      </w:r>
      <w:r>
        <w:rPr>
          <w:szCs w:val="24"/>
        </w:rPr>
        <w:t>s</w:t>
      </w:r>
      <w:r w:rsidRPr="00FD5EF5">
        <w:rPr>
          <w:szCs w:val="24"/>
        </w:rPr>
        <w:t xml:space="preserve">e </w:t>
      </w:r>
      <w:r>
        <w:rPr>
          <w:szCs w:val="24"/>
        </w:rPr>
        <w:t>“</w:t>
      </w:r>
      <w:r w:rsidRPr="00FD5EF5">
        <w:rPr>
          <w:szCs w:val="24"/>
        </w:rPr>
        <w:t>excess</w:t>
      </w:r>
      <w:r>
        <w:rPr>
          <w:szCs w:val="24"/>
        </w:rPr>
        <w:t>”</w:t>
      </w:r>
      <w:r w:rsidRPr="00FD5EF5">
        <w:rPr>
          <w:szCs w:val="24"/>
        </w:rPr>
        <w:t xml:space="preserve"> wealth from oil may provide the state with an opportunity to maintain a stable growth path, independent of fluctuations in oil prices.</w:t>
      </w:r>
    </w:p>
    <w:p w14:paraId="2FCE0FBB" w14:textId="64F8E382" w:rsidR="00FD5EF5" w:rsidRDefault="00FD5EF5" w:rsidP="00FD5EF5">
      <w:pPr>
        <w:rPr>
          <w:szCs w:val="24"/>
        </w:rPr>
      </w:pPr>
      <w:r w:rsidRPr="00FD5EF5">
        <w:rPr>
          <w:szCs w:val="24"/>
        </w:rPr>
        <w:t xml:space="preserve">Second, we show that the underground economy has a </w:t>
      </w:r>
      <w:r w:rsidR="000D7ECB">
        <w:rPr>
          <w:szCs w:val="24"/>
        </w:rPr>
        <w:t xml:space="preserve">negative </w:t>
      </w:r>
      <w:r w:rsidRPr="00FD5EF5">
        <w:rPr>
          <w:szCs w:val="24"/>
        </w:rPr>
        <w:t xml:space="preserve">long-term impact on economic growth, while its short-term effect is </w:t>
      </w:r>
      <w:r w:rsidR="000D7ECB">
        <w:rPr>
          <w:szCs w:val="24"/>
        </w:rPr>
        <w:t>positive</w:t>
      </w:r>
      <w:r w:rsidRPr="00FD5EF5">
        <w:rPr>
          <w:szCs w:val="24"/>
        </w:rPr>
        <w:t xml:space="preserve">. This finding aligns with the results of several studies (see Goel et al., 2018; Nguyen &amp; Duong, 2021; Nguyen et al., 2022; </w:t>
      </w:r>
      <w:proofErr w:type="spellStart"/>
      <w:r w:rsidRPr="00FD5EF5">
        <w:rPr>
          <w:szCs w:val="24"/>
        </w:rPr>
        <w:t>Saunoris</w:t>
      </w:r>
      <w:proofErr w:type="spellEnd"/>
      <w:r w:rsidRPr="00FD5EF5">
        <w:rPr>
          <w:szCs w:val="24"/>
        </w:rPr>
        <w:t xml:space="preserve">, 2018; Schneider &amp; </w:t>
      </w:r>
      <w:proofErr w:type="spellStart"/>
      <w:r w:rsidRPr="00FD5EF5">
        <w:rPr>
          <w:szCs w:val="24"/>
        </w:rPr>
        <w:t>Hametner</w:t>
      </w:r>
      <w:proofErr w:type="spellEnd"/>
      <w:r w:rsidRPr="00FD5EF5">
        <w:rPr>
          <w:szCs w:val="24"/>
        </w:rPr>
        <w:t xml:space="preserve">, 2014; Younas et al., 2022) that demonstrate how the underground economy can stimulate growth in the short term but stifle long-term growth. </w:t>
      </w:r>
      <w:r w:rsidRPr="00773908">
        <w:rPr>
          <w:szCs w:val="24"/>
          <w:highlight w:val="yellow"/>
        </w:rPr>
        <w:t>The short-term positive impact may be attributed to the underground economy’s capacity to create jobs, alleviate poverty, reduce income inequality, and serve as an insurance policy against economic volatility, thereby reducing social pressure on the state and stimulating the economy (</w:t>
      </w:r>
      <w:proofErr w:type="spellStart"/>
      <w:r w:rsidRPr="00773908">
        <w:rPr>
          <w:szCs w:val="24"/>
          <w:highlight w:val="yellow"/>
        </w:rPr>
        <w:t>Ajide</w:t>
      </w:r>
      <w:proofErr w:type="spellEnd"/>
      <w:r w:rsidRPr="00773908">
        <w:rPr>
          <w:szCs w:val="24"/>
          <w:highlight w:val="yellow"/>
        </w:rPr>
        <w:t xml:space="preserve"> et al., 2024; Ishak &amp; </w:t>
      </w:r>
      <w:proofErr w:type="spellStart"/>
      <w:r w:rsidRPr="00773908">
        <w:rPr>
          <w:szCs w:val="24"/>
          <w:highlight w:val="yellow"/>
        </w:rPr>
        <w:t>Farzanegan</w:t>
      </w:r>
      <w:proofErr w:type="spellEnd"/>
      <w:r w:rsidRPr="00773908">
        <w:rPr>
          <w:szCs w:val="24"/>
          <w:highlight w:val="yellow"/>
        </w:rPr>
        <w:t xml:space="preserve">, 2022; </w:t>
      </w:r>
      <w:proofErr w:type="spellStart"/>
      <w:r w:rsidRPr="00773908">
        <w:rPr>
          <w:szCs w:val="24"/>
          <w:highlight w:val="yellow"/>
        </w:rPr>
        <w:t>Sakanko</w:t>
      </w:r>
      <w:proofErr w:type="spellEnd"/>
      <w:r w:rsidRPr="00773908">
        <w:rPr>
          <w:szCs w:val="24"/>
          <w:highlight w:val="yellow"/>
        </w:rPr>
        <w:t xml:space="preserve"> et al., 2024). However, its negative long-term impact on growth can be explained by the “destructive cycle” it initiates, which includes reduced tax revenue, inefficiencies in public policy, and distortions in resource allocation—factors that negatively affect the overall economy. Moreover, the expansion of the shadow economy may impair long-term growth by providing a safe haven for activities associated with the criminal economy, such as money laundering, kidnapping for ransom, and tax evasion (</w:t>
      </w:r>
      <w:proofErr w:type="spellStart"/>
      <w:r w:rsidRPr="00773908">
        <w:rPr>
          <w:szCs w:val="24"/>
          <w:highlight w:val="yellow"/>
        </w:rPr>
        <w:t>Aljassmi</w:t>
      </w:r>
      <w:proofErr w:type="spellEnd"/>
      <w:r w:rsidRPr="00773908">
        <w:rPr>
          <w:szCs w:val="24"/>
          <w:highlight w:val="yellow"/>
        </w:rPr>
        <w:t xml:space="preserve"> et al., 2024), all of which threaten economic stability. Thus, any short-term benefits the underground economy may offer are eventually outweighed by its substantial adverse effects in the long term (</w:t>
      </w:r>
      <w:proofErr w:type="spellStart"/>
      <w:r w:rsidRPr="00773908">
        <w:rPr>
          <w:szCs w:val="24"/>
          <w:highlight w:val="yellow"/>
        </w:rPr>
        <w:t>Sakanko</w:t>
      </w:r>
      <w:proofErr w:type="spellEnd"/>
      <w:r w:rsidRPr="00773908">
        <w:rPr>
          <w:szCs w:val="24"/>
          <w:highlight w:val="yellow"/>
        </w:rPr>
        <w:t xml:space="preserve"> et al., 2024). Given the feedback causality link betwee</w:t>
      </w:r>
      <w:r w:rsidRPr="00FD5EF5">
        <w:rPr>
          <w:szCs w:val="24"/>
          <w:highlight w:val="yellow"/>
        </w:rPr>
        <w:t>n the size of the underground economy and the growth of the formal sector (</w:t>
      </w:r>
      <w:proofErr w:type="spellStart"/>
      <w:r w:rsidRPr="00FD5EF5">
        <w:rPr>
          <w:szCs w:val="24"/>
          <w:highlight w:val="yellow"/>
        </w:rPr>
        <w:t>Bilan</w:t>
      </w:r>
      <w:proofErr w:type="spellEnd"/>
      <w:r w:rsidRPr="00FD5EF5">
        <w:rPr>
          <w:szCs w:val="24"/>
          <w:highlight w:val="yellow"/>
        </w:rPr>
        <w:t xml:space="preserve"> et al., 2020), it can be argued that significant improvements in formal economic activities could help reverse the negative impact by encouraging firms and individuals to transition to the formal sector, thereby reducing the size of the underground economy.</w:t>
      </w:r>
      <w:r w:rsidRPr="00FD5EF5">
        <w:rPr>
          <w:szCs w:val="24"/>
        </w:rPr>
        <w:t xml:space="preserve"> Therefore, the policy implication is that governments and policymakers should take proactive measures to shrink the underground economy by addressing its root causes, such as poverty, unemployment, and weak institutions. According to </w:t>
      </w:r>
      <w:proofErr w:type="spellStart"/>
      <w:r w:rsidRPr="00FD5EF5">
        <w:rPr>
          <w:szCs w:val="24"/>
        </w:rPr>
        <w:t>Sakanko</w:t>
      </w:r>
      <w:proofErr w:type="spellEnd"/>
      <w:r w:rsidRPr="00FD5EF5">
        <w:rPr>
          <w:szCs w:val="24"/>
        </w:rPr>
        <w:t xml:space="preserve"> et al. (2024), the size of the underground economy in developing countries could be halved through enhanced access to quality financial products and services, increased opportunities for participation in formal and international trade, economic stability in terms of inflation rates, and the development of the agricultural sector.</w:t>
      </w:r>
    </w:p>
    <w:p w14:paraId="1FCE7A9A" w14:textId="77777777" w:rsidR="00773908" w:rsidRDefault="00773908" w:rsidP="000C6A1E">
      <w:r>
        <w:t>Lastly, and most importantly, the study reveals that the size of the underground economy adversely moderates the impact of oil revenue on economic growth in Nigeria. Consequently, the marginal effect of oil revenue varies with the size of the underground economy, with oil wealth having a larger stimulating impact on economic growth when the size of the underground economy is very low, while stifling growth at higher levels of the underground economy. Among other things, this finding is significant to the growing literature on the resource curse hypothesis. Beyond confirming the existence of a resource curse issue, it demonstrates the dependence of the impact of oil revenue on the size of the underground economy. This is evidenced by the diminishing positive impact of oil revenue on long-term growth as the size of the underground economy increases. This provides another perspective on the explanation of the resource curse hypothesis, indicating that the underground economy is an important channel through which the resource curse is transmitted into an oil-rich economy.</w:t>
      </w:r>
    </w:p>
    <w:p w14:paraId="3BA0D714" w14:textId="3D0940C3" w:rsidR="00773908" w:rsidRPr="006C520E" w:rsidRDefault="005E03B6" w:rsidP="000C6A1E">
      <w:pPr>
        <w:rPr>
          <w:szCs w:val="24"/>
        </w:rPr>
      </w:pPr>
      <w:r>
        <w:t>Overall</w:t>
      </w:r>
      <w:r w:rsidR="00773908">
        <w:t xml:space="preserve">, the policy implication of this finding is that reducing the size of the underground economy is fundamental for oil wealth to support long-term economic growth in oil-rich countries such as Nigeria. In other words, an increase in oil wealth coupled with a decrease in the size of the underground </w:t>
      </w:r>
      <w:r w:rsidR="00773908">
        <w:lastRenderedPageBreak/>
        <w:t>economy appears to offer more benefits for long-term economic growth compared to the simultaneous increase in both oil revenue and the size of the underground economy. Besides its deleterious effect on long-term growth, the underground economy also stifles growth through an economy</w:t>
      </w:r>
      <w:r>
        <w:t>’</w:t>
      </w:r>
      <w:r w:rsidR="00773908">
        <w:t>s dependence on oil. Therefore, the government must intensify and strengthen its efforts to reduce the size of the underground economy to mitigate its impact on the overall economy and oil wealth. To achieve long-term economic benefits from abundant oil resources, countries must implement appropriate monetary and fiscal policies to control the development of the underground economy.</w:t>
      </w:r>
    </w:p>
    <w:p w14:paraId="410D1120" w14:textId="02B8ACA9" w:rsidR="00392BC4" w:rsidRPr="006C520E" w:rsidRDefault="004206D4" w:rsidP="00E2592C">
      <w:pPr>
        <w:pStyle w:val="Heading1"/>
        <w:spacing w:before="0" w:line="240" w:lineRule="auto"/>
        <w:rPr>
          <w:rFonts w:ascii="Garamond" w:hAnsi="Garamond" w:cs="Times New Roman"/>
          <w:b/>
          <w:bCs/>
          <w:color w:val="auto"/>
          <w:sz w:val="24"/>
          <w:szCs w:val="24"/>
          <w:lang w:val="en-GB"/>
        </w:rPr>
      </w:pPr>
      <w:r w:rsidRPr="006C520E">
        <w:rPr>
          <w:rFonts w:ascii="Garamond" w:hAnsi="Garamond" w:cs="Times New Roman"/>
          <w:b/>
          <w:bCs/>
          <w:color w:val="auto"/>
          <w:sz w:val="24"/>
          <w:szCs w:val="24"/>
          <w:lang w:val="en-GB"/>
        </w:rPr>
        <w:t>5</w:t>
      </w:r>
      <w:r w:rsidR="00392BC4" w:rsidRPr="006C520E">
        <w:rPr>
          <w:rFonts w:ascii="Garamond" w:hAnsi="Garamond" w:cs="Times New Roman"/>
          <w:b/>
          <w:bCs/>
          <w:color w:val="auto"/>
          <w:sz w:val="24"/>
          <w:szCs w:val="24"/>
          <w:lang w:val="en-GB"/>
        </w:rPr>
        <w:t xml:space="preserve"> </w:t>
      </w:r>
      <w:r w:rsidR="00F92516" w:rsidRPr="006C520E">
        <w:rPr>
          <w:rFonts w:ascii="Garamond" w:hAnsi="Garamond" w:cs="Times New Roman"/>
          <w:b/>
          <w:bCs/>
          <w:color w:val="auto"/>
          <w:sz w:val="24"/>
          <w:szCs w:val="24"/>
          <w:lang w:val="en-GB"/>
        </w:rPr>
        <w:t>Conclusion</w:t>
      </w:r>
      <w:r w:rsidR="00571987" w:rsidRPr="006C520E">
        <w:rPr>
          <w:rFonts w:ascii="Garamond" w:hAnsi="Garamond" w:cs="Times New Roman"/>
          <w:b/>
          <w:bCs/>
          <w:color w:val="auto"/>
          <w:sz w:val="24"/>
          <w:szCs w:val="24"/>
          <w:lang w:val="en-GB"/>
        </w:rPr>
        <w:t xml:space="preserve"> </w:t>
      </w:r>
    </w:p>
    <w:p w14:paraId="552B813C" w14:textId="69701C68" w:rsidR="00E820A5" w:rsidRPr="006C520E" w:rsidRDefault="00E820A5" w:rsidP="00E820A5">
      <w:pPr>
        <w:rPr>
          <w:szCs w:val="24"/>
        </w:rPr>
      </w:pPr>
      <w:r w:rsidRPr="006C520E">
        <w:rPr>
          <w:szCs w:val="24"/>
          <w:highlight w:val="yellow"/>
        </w:rPr>
        <w:t>The empirical literature on the oil-growth relationship demonstrates that the impact of oil wealth may depend on some factors and conditions, such as the quality of institutions (including the control of corruption), human capital development, industrialization, rent-seeking, and economic policies, among others. However, little to no attention has been paid to exploring the role of the underground economy in determining how oil wealth affects growth. Therefore, this study seeks to investigate the role of the underground economy in the oil wealth-growth relationship using the bootstrap ARDL bounds testing cointegration method. The results show that while oil wealth promotes long-term economic growth, the long-term impact of the underground economy on growth is negative. Moreover, the findings indicate that the marginal effect of oil wealth on economic growth varies with the size of the underground economy. This suggests that the positive impact of oil wealth on economic growth is larger when the size of the underground economy is very small. The economic implication of this finding is that the underground economy serves as a transmission channel through which the adverse effects of the “resource curse” are exerted on economic growth. Therefore, for sustained long-term economic growth, increases in oil wealth must be accompanied by significant reductions in the size of the underground economy. Consequently, governments and policymakers must adopt appropriate macroeconomic strategies to reduce the underground economy's size to enable the country to fully benefit from its oil wealth.</w:t>
      </w:r>
    </w:p>
    <w:p w14:paraId="088BFE9F" w14:textId="5BBF2FF9" w:rsidR="00C42109" w:rsidRPr="006C520E" w:rsidRDefault="00C42109" w:rsidP="00C42109">
      <w:pPr>
        <w:rPr>
          <w:szCs w:val="24"/>
        </w:rPr>
      </w:pPr>
      <w:r w:rsidRPr="006C520E">
        <w:rPr>
          <w:szCs w:val="24"/>
          <w:highlight w:val="yellow"/>
        </w:rPr>
        <w:t>Despite this study’s pioneering effort to examine the role of the underground economy in the relationship between oil rent and economic growth, it is not without limitations. The primary limitation lies in the measurement of the underground economy. The data used, sourced from Medina and Schneider (2019), is based on the multiple indicators multiple cause (MIMIC) approach and is restricted to the 1991-2017 period. Additionally, the analysis is limited to Nigeria, which may affect the generali</w:t>
      </w:r>
      <w:r w:rsidR="0014706D">
        <w:rPr>
          <w:szCs w:val="24"/>
          <w:highlight w:val="yellow"/>
        </w:rPr>
        <w:t>s</w:t>
      </w:r>
      <w:r w:rsidRPr="006C520E">
        <w:rPr>
          <w:szCs w:val="24"/>
          <w:highlight w:val="yellow"/>
        </w:rPr>
        <w:t>ability of the findings. However, these limitations do not diminish the policy relevance and unique contributions of this study. Future research could build on this work by incorporating more comprehensive and granular datasets with alternative measures of the underground economy across multiple oil-rich economies and extending the timeframe. Such studies could provide deeper insights into how the size of the underground economy influences the impact of oil rent on economic growth.</w:t>
      </w:r>
    </w:p>
    <w:p w14:paraId="59A79228" w14:textId="25426C1A" w:rsidR="00051CF4" w:rsidRPr="006C520E" w:rsidRDefault="00051CF4" w:rsidP="000A4C8A">
      <w:pPr>
        <w:pStyle w:val="Heading1"/>
        <w:spacing w:line="240" w:lineRule="auto"/>
        <w:rPr>
          <w:rFonts w:ascii="Garamond" w:hAnsi="Garamond" w:cs="Times New Roman"/>
          <w:b/>
          <w:bCs/>
          <w:color w:val="auto"/>
          <w:sz w:val="24"/>
          <w:szCs w:val="24"/>
          <w:lang w:val="en-GB"/>
        </w:rPr>
      </w:pPr>
      <w:r w:rsidRPr="006C520E">
        <w:rPr>
          <w:rFonts w:ascii="Garamond" w:hAnsi="Garamond" w:cs="Times New Roman"/>
          <w:b/>
          <w:bCs/>
          <w:color w:val="auto"/>
          <w:sz w:val="24"/>
          <w:szCs w:val="24"/>
          <w:lang w:val="en-GB"/>
        </w:rPr>
        <w:t>References</w:t>
      </w:r>
    </w:p>
    <w:p w14:paraId="29E8AE18" w14:textId="77777777" w:rsidR="00517292" w:rsidRPr="006C520E" w:rsidRDefault="00517292" w:rsidP="007A6A82">
      <w:pPr>
        <w:spacing w:after="0"/>
        <w:ind w:left="720" w:hanging="720"/>
        <w:rPr>
          <w:szCs w:val="24"/>
        </w:rPr>
      </w:pPr>
      <w:r w:rsidRPr="006C520E">
        <w:rPr>
          <w:szCs w:val="24"/>
        </w:rPr>
        <w:t xml:space="preserve">Abu, N., David, J., Gamal, A.A.M. &amp; Obi, B. (2022). Non-linear effect of government debt on public expenditure in Nigeria: Insight from bootstrap ARDL procedure. </w:t>
      </w:r>
      <w:r w:rsidRPr="006C520E">
        <w:rPr>
          <w:i/>
          <w:iCs/>
          <w:szCs w:val="24"/>
        </w:rPr>
        <w:t>Organizations and Markets in Emerging Economies</w:t>
      </w:r>
      <w:r w:rsidRPr="006C520E">
        <w:rPr>
          <w:szCs w:val="24"/>
        </w:rPr>
        <w:t xml:space="preserve">, </w:t>
      </w:r>
      <w:r w:rsidRPr="006C520E">
        <w:rPr>
          <w:i/>
          <w:iCs/>
          <w:szCs w:val="24"/>
        </w:rPr>
        <w:t>13</w:t>
      </w:r>
      <w:r w:rsidRPr="006C520E">
        <w:rPr>
          <w:szCs w:val="24"/>
        </w:rPr>
        <w:t>(1), 163-182. https://doi.org/10.15388/omee.2022.13.75</w:t>
      </w:r>
    </w:p>
    <w:p w14:paraId="5E6B8EB5" w14:textId="77777777" w:rsidR="00517292" w:rsidRPr="006C520E" w:rsidRDefault="00517292" w:rsidP="006B7683">
      <w:pPr>
        <w:spacing w:after="0"/>
        <w:ind w:left="720" w:hanging="720"/>
        <w:rPr>
          <w:szCs w:val="24"/>
        </w:rPr>
      </w:pPr>
      <w:r w:rsidRPr="006C520E">
        <w:rPr>
          <w:szCs w:val="24"/>
        </w:rPr>
        <w:t xml:space="preserve">Abu, N., David, J., </w:t>
      </w:r>
      <w:proofErr w:type="spellStart"/>
      <w:r w:rsidRPr="006C520E">
        <w:rPr>
          <w:szCs w:val="24"/>
        </w:rPr>
        <w:t>Sakanko</w:t>
      </w:r>
      <w:proofErr w:type="spellEnd"/>
      <w:r w:rsidRPr="006C520E">
        <w:rPr>
          <w:szCs w:val="24"/>
        </w:rPr>
        <w:t xml:space="preserve">, M.A., &amp; Amaechi, B.O.O. (2022). Oil price and public expenditure relationship in Nigeria: Does the level of corruption matter. </w:t>
      </w:r>
      <w:r w:rsidRPr="006C520E">
        <w:rPr>
          <w:i/>
          <w:iCs/>
          <w:szCs w:val="24"/>
        </w:rPr>
        <w:t>Economic Studies (</w:t>
      </w:r>
      <w:proofErr w:type="spellStart"/>
      <w:r w:rsidRPr="006C520E">
        <w:rPr>
          <w:i/>
          <w:iCs/>
          <w:szCs w:val="24"/>
        </w:rPr>
        <w:t>Ikonomicheski</w:t>
      </w:r>
      <w:proofErr w:type="spellEnd"/>
      <w:r w:rsidRPr="006C520E">
        <w:rPr>
          <w:i/>
          <w:iCs/>
          <w:szCs w:val="24"/>
        </w:rPr>
        <w:t xml:space="preserve"> </w:t>
      </w:r>
      <w:proofErr w:type="spellStart"/>
      <w:r w:rsidRPr="006C520E">
        <w:rPr>
          <w:i/>
          <w:iCs/>
          <w:szCs w:val="24"/>
        </w:rPr>
        <w:t>Izsledvania</w:t>
      </w:r>
      <w:proofErr w:type="spellEnd"/>
      <w:r w:rsidRPr="006C520E">
        <w:rPr>
          <w:i/>
          <w:iCs/>
          <w:szCs w:val="24"/>
        </w:rPr>
        <w:t>)</w:t>
      </w:r>
      <w:r w:rsidRPr="006C520E">
        <w:rPr>
          <w:szCs w:val="24"/>
        </w:rPr>
        <w:t>, 31(3), 59-80.</w:t>
      </w:r>
    </w:p>
    <w:p w14:paraId="5F4E943D" w14:textId="77777777" w:rsidR="00517292" w:rsidRPr="006C520E" w:rsidRDefault="00517292" w:rsidP="007A6A82">
      <w:pPr>
        <w:spacing w:after="0"/>
        <w:ind w:left="720" w:hanging="720"/>
        <w:rPr>
          <w:szCs w:val="24"/>
        </w:rPr>
      </w:pPr>
      <w:r w:rsidRPr="006C520E">
        <w:rPr>
          <w:szCs w:val="24"/>
        </w:rPr>
        <w:lastRenderedPageBreak/>
        <w:t xml:space="preserve">Abu, N., </w:t>
      </w:r>
      <w:proofErr w:type="spellStart"/>
      <w:r w:rsidRPr="006C520E">
        <w:rPr>
          <w:szCs w:val="24"/>
        </w:rPr>
        <w:t>Sakanko</w:t>
      </w:r>
      <w:proofErr w:type="spellEnd"/>
      <w:r w:rsidRPr="006C520E">
        <w:rPr>
          <w:szCs w:val="24"/>
        </w:rPr>
        <w:t xml:space="preserve">, M. A., David, J., Gamal, A. A. M., &amp; Obi, B. (2022). Does financial inclusion reduce poverty in Niger State? Evidence from logistic regression technique. </w:t>
      </w:r>
      <w:r w:rsidRPr="006C520E">
        <w:rPr>
          <w:i/>
          <w:iCs/>
          <w:szCs w:val="24"/>
        </w:rPr>
        <w:t>Organizations and Markets in Emerging Economies</w:t>
      </w:r>
      <w:r w:rsidRPr="006C520E">
        <w:rPr>
          <w:szCs w:val="24"/>
        </w:rPr>
        <w:t>, 13(2), 443-466. https://doi.org/10.15388/omee.2022.13.88</w:t>
      </w:r>
    </w:p>
    <w:p w14:paraId="6499C3DF" w14:textId="768E17F9" w:rsidR="00517292" w:rsidRPr="006C520E" w:rsidRDefault="00517292" w:rsidP="007A6A82">
      <w:pPr>
        <w:spacing w:after="0"/>
        <w:ind w:left="720" w:hanging="720"/>
        <w:rPr>
          <w:szCs w:val="24"/>
        </w:rPr>
      </w:pPr>
      <w:r w:rsidRPr="006C520E">
        <w:rPr>
          <w:szCs w:val="24"/>
        </w:rPr>
        <w:t xml:space="preserve">Abubakar, I.S. &amp; </w:t>
      </w:r>
      <w:proofErr w:type="spellStart"/>
      <w:r w:rsidRPr="006C520E">
        <w:rPr>
          <w:szCs w:val="24"/>
        </w:rPr>
        <w:t>Akadiri</w:t>
      </w:r>
      <w:proofErr w:type="spellEnd"/>
      <w:r w:rsidRPr="006C520E">
        <w:rPr>
          <w:szCs w:val="24"/>
        </w:rPr>
        <w:t xml:space="preserve">, S.S. (2022). Revisiting oil-rent-output growth nexus in Nigeria: evidence from dynamic autoregressive lag model and kernel-based regularised approach. </w:t>
      </w:r>
      <w:r w:rsidRPr="006C520E">
        <w:rPr>
          <w:i/>
          <w:iCs/>
          <w:szCs w:val="24"/>
        </w:rPr>
        <w:t>Environmental Science and Pollution Research</w:t>
      </w:r>
      <w:r w:rsidRPr="006C520E">
        <w:rPr>
          <w:szCs w:val="24"/>
        </w:rPr>
        <w:t xml:space="preserve">, </w:t>
      </w:r>
      <w:r w:rsidRPr="006C520E">
        <w:rPr>
          <w:i/>
          <w:iCs/>
          <w:szCs w:val="24"/>
        </w:rPr>
        <w:t>29</w:t>
      </w:r>
      <w:r w:rsidRPr="006C520E">
        <w:rPr>
          <w:szCs w:val="24"/>
        </w:rPr>
        <w:t>(30), 45461-45473</w:t>
      </w:r>
      <w:r>
        <w:rPr>
          <w:szCs w:val="24"/>
        </w:rPr>
        <w:t>. https://doi.org</w:t>
      </w:r>
      <w:r w:rsidRPr="006C520E">
        <w:rPr>
          <w:szCs w:val="24"/>
        </w:rPr>
        <w:t>/10.1007/s11356-022-19034-z.</w:t>
      </w:r>
    </w:p>
    <w:p w14:paraId="79FC286F" w14:textId="77777777" w:rsidR="00517292" w:rsidRPr="006C520E" w:rsidRDefault="00517292" w:rsidP="00F11E9A">
      <w:pPr>
        <w:spacing w:after="0"/>
        <w:ind w:left="720" w:hanging="720"/>
        <w:rPr>
          <w:szCs w:val="24"/>
        </w:rPr>
      </w:pPr>
      <w:r w:rsidRPr="006C520E">
        <w:rPr>
          <w:szCs w:val="24"/>
          <w:highlight w:val="yellow"/>
        </w:rPr>
        <w:t xml:space="preserve">Adebayo, T.S., </w:t>
      </w:r>
      <w:proofErr w:type="spellStart"/>
      <w:r w:rsidRPr="006C520E">
        <w:rPr>
          <w:szCs w:val="24"/>
          <w:highlight w:val="yellow"/>
        </w:rPr>
        <w:t>Udemba</w:t>
      </w:r>
      <w:proofErr w:type="spellEnd"/>
      <w:r w:rsidRPr="006C520E">
        <w:rPr>
          <w:szCs w:val="24"/>
          <w:highlight w:val="yellow"/>
        </w:rPr>
        <w:t xml:space="preserve">, E.N., Ahmed, Z., &amp; </w:t>
      </w:r>
      <w:proofErr w:type="spellStart"/>
      <w:r w:rsidRPr="006C520E">
        <w:rPr>
          <w:szCs w:val="24"/>
          <w:highlight w:val="yellow"/>
        </w:rPr>
        <w:t>Kirikkaleli</w:t>
      </w:r>
      <w:proofErr w:type="spellEnd"/>
      <w:r w:rsidRPr="006C520E">
        <w:rPr>
          <w:szCs w:val="24"/>
          <w:highlight w:val="yellow"/>
        </w:rPr>
        <w:t xml:space="preserve">, D. (221). Determinants of consumption-based carbon emissions in Chile: an application of non-linear ARDL. </w:t>
      </w:r>
      <w:r w:rsidRPr="006C520E">
        <w:rPr>
          <w:i/>
          <w:iCs/>
          <w:szCs w:val="24"/>
          <w:highlight w:val="yellow"/>
        </w:rPr>
        <w:t>Environmental Science and Pollution Research</w:t>
      </w:r>
      <w:r w:rsidRPr="006C520E">
        <w:rPr>
          <w:szCs w:val="24"/>
          <w:highlight w:val="yellow"/>
        </w:rPr>
        <w:t xml:space="preserve">, </w:t>
      </w:r>
      <w:r w:rsidRPr="006C520E">
        <w:rPr>
          <w:i/>
          <w:iCs/>
          <w:szCs w:val="24"/>
          <w:highlight w:val="yellow"/>
        </w:rPr>
        <w:t>28</w:t>
      </w:r>
      <w:r w:rsidRPr="006C520E">
        <w:rPr>
          <w:szCs w:val="24"/>
          <w:highlight w:val="yellow"/>
        </w:rPr>
        <w:t>, 43908-43922. https://doi.org/10.1007/s11356-021-13830-9</w:t>
      </w:r>
    </w:p>
    <w:p w14:paraId="59A83624" w14:textId="77777777" w:rsidR="00517292" w:rsidRPr="006C520E" w:rsidRDefault="00517292" w:rsidP="00E45B7C">
      <w:pPr>
        <w:spacing w:after="0"/>
        <w:ind w:left="720" w:hanging="720"/>
        <w:rPr>
          <w:szCs w:val="24"/>
        </w:rPr>
      </w:pPr>
      <w:r w:rsidRPr="006C520E">
        <w:rPr>
          <w:szCs w:val="24"/>
          <w:highlight w:val="yellow"/>
        </w:rPr>
        <w:t xml:space="preserve">Ahmed, Z., Cary, M. &amp; Le, H.P. (2021). Accounting asymmetries in the long-run nexus between globalization and environmental sustainability in the United States: an aggregated and disaggregated investigation. </w:t>
      </w:r>
      <w:r w:rsidRPr="006C520E">
        <w:rPr>
          <w:i/>
          <w:iCs/>
          <w:szCs w:val="24"/>
          <w:highlight w:val="yellow"/>
        </w:rPr>
        <w:t>Environmental Impact Assessment Review</w:t>
      </w:r>
      <w:r w:rsidRPr="006C520E">
        <w:rPr>
          <w:szCs w:val="24"/>
          <w:highlight w:val="yellow"/>
        </w:rPr>
        <w:t xml:space="preserve">, </w:t>
      </w:r>
      <w:r w:rsidRPr="006C520E">
        <w:rPr>
          <w:i/>
          <w:iCs/>
          <w:szCs w:val="24"/>
          <w:highlight w:val="yellow"/>
        </w:rPr>
        <w:t>86</w:t>
      </w:r>
      <w:r w:rsidRPr="006C520E">
        <w:rPr>
          <w:szCs w:val="24"/>
          <w:highlight w:val="yellow"/>
        </w:rPr>
        <w:t>. https://doi.org/10.1016/j.eiar.2020.106511</w:t>
      </w:r>
    </w:p>
    <w:p w14:paraId="2531DAD2" w14:textId="77777777" w:rsidR="00517292" w:rsidRPr="006C520E" w:rsidRDefault="00517292" w:rsidP="006B7683">
      <w:pPr>
        <w:spacing w:after="0"/>
        <w:ind w:left="720" w:hanging="720"/>
        <w:rPr>
          <w:szCs w:val="24"/>
        </w:rPr>
      </w:pPr>
      <w:proofErr w:type="spellStart"/>
      <w:r w:rsidRPr="006C520E">
        <w:rPr>
          <w:rFonts w:cs="Open Sans"/>
          <w:color w:val="333333"/>
          <w:highlight w:val="yellow"/>
          <w:shd w:val="clear" w:color="auto" w:fill="FFFFFF"/>
        </w:rPr>
        <w:t>Ajide</w:t>
      </w:r>
      <w:proofErr w:type="spellEnd"/>
      <w:r w:rsidRPr="006C520E">
        <w:rPr>
          <w:rFonts w:cs="Open Sans"/>
          <w:color w:val="333333"/>
          <w:highlight w:val="yellow"/>
          <w:shd w:val="clear" w:color="auto" w:fill="FFFFFF"/>
        </w:rPr>
        <w:t>, F. M., Dada, J. T., Al-</w:t>
      </w:r>
      <w:proofErr w:type="spellStart"/>
      <w:r w:rsidRPr="006C520E">
        <w:rPr>
          <w:rFonts w:cs="Open Sans"/>
          <w:color w:val="333333"/>
          <w:highlight w:val="yellow"/>
          <w:shd w:val="clear" w:color="auto" w:fill="FFFFFF"/>
        </w:rPr>
        <w:t>Faryan</w:t>
      </w:r>
      <w:proofErr w:type="spellEnd"/>
      <w:r w:rsidRPr="006C520E">
        <w:rPr>
          <w:rFonts w:cs="Open Sans"/>
          <w:color w:val="333333"/>
          <w:highlight w:val="yellow"/>
          <w:shd w:val="clear" w:color="auto" w:fill="FFFFFF"/>
        </w:rPr>
        <w:t>, M. A. S., &amp; Tabash, M. I. (2024). Shadow economy-income inequality nexus: a panel analysis of West African countries. </w:t>
      </w:r>
      <w:r w:rsidRPr="006C520E">
        <w:rPr>
          <w:rFonts w:cs="Open Sans"/>
          <w:i/>
          <w:iCs/>
          <w:color w:val="333333"/>
          <w:highlight w:val="yellow"/>
          <w:shd w:val="clear" w:color="auto" w:fill="FFFFFF"/>
        </w:rPr>
        <w:t>Journal of Economic Policy Reform</w:t>
      </w:r>
      <w:r w:rsidRPr="006C520E">
        <w:rPr>
          <w:rFonts w:cs="Open Sans"/>
          <w:color w:val="333333"/>
          <w:highlight w:val="yellow"/>
          <w:shd w:val="clear" w:color="auto" w:fill="FFFFFF"/>
        </w:rPr>
        <w:t>, 1–23. https://doi.org/10.1080/17487870.2024.2392571</w:t>
      </w:r>
    </w:p>
    <w:p w14:paraId="04A478AB" w14:textId="348C8EA3" w:rsidR="00517292" w:rsidRPr="006C520E" w:rsidRDefault="00517292" w:rsidP="006B7683">
      <w:pPr>
        <w:spacing w:after="0"/>
        <w:ind w:left="720" w:hanging="720"/>
        <w:rPr>
          <w:szCs w:val="24"/>
        </w:rPr>
      </w:pPr>
      <w:proofErr w:type="spellStart"/>
      <w:r w:rsidRPr="006C520E">
        <w:rPr>
          <w:szCs w:val="24"/>
          <w:highlight w:val="yellow"/>
        </w:rPr>
        <w:t>Ajide</w:t>
      </w:r>
      <w:proofErr w:type="spellEnd"/>
      <w:r w:rsidRPr="006C520E">
        <w:rPr>
          <w:szCs w:val="24"/>
          <w:highlight w:val="yellow"/>
        </w:rPr>
        <w:t>, F.M. &amp; Dada, J.T. (2024). Globalization and shadow economy: a panel analysis for Africa</w:t>
      </w:r>
      <w:r>
        <w:rPr>
          <w:szCs w:val="24"/>
          <w:highlight w:val="yellow"/>
        </w:rPr>
        <w:t>.</w:t>
      </w:r>
      <w:r w:rsidRPr="006C520E">
        <w:rPr>
          <w:szCs w:val="24"/>
          <w:highlight w:val="yellow"/>
        </w:rPr>
        <w:t xml:space="preserve"> </w:t>
      </w:r>
      <w:r w:rsidRPr="006C520E">
        <w:rPr>
          <w:i/>
          <w:iCs/>
          <w:szCs w:val="24"/>
          <w:highlight w:val="yellow"/>
        </w:rPr>
        <w:t>Review of Economics and Political Science</w:t>
      </w:r>
      <w:r w:rsidRPr="006C520E">
        <w:rPr>
          <w:szCs w:val="24"/>
          <w:highlight w:val="yellow"/>
        </w:rPr>
        <w:t xml:space="preserve">, </w:t>
      </w:r>
      <w:r w:rsidRPr="006C520E">
        <w:rPr>
          <w:i/>
          <w:iCs/>
          <w:szCs w:val="24"/>
          <w:highlight w:val="yellow"/>
        </w:rPr>
        <w:t>9</w:t>
      </w:r>
      <w:r w:rsidRPr="006C520E">
        <w:rPr>
          <w:szCs w:val="24"/>
          <w:highlight w:val="yellow"/>
        </w:rPr>
        <w:t>(2), 166-189. https://doi.org/10.1108/REPS-10-2022-0075</w:t>
      </w:r>
    </w:p>
    <w:p w14:paraId="34B5EB73" w14:textId="77777777" w:rsidR="00517292" w:rsidRPr="006C520E" w:rsidRDefault="00517292" w:rsidP="007A6A82">
      <w:pPr>
        <w:spacing w:after="0"/>
        <w:ind w:left="720" w:hanging="720"/>
        <w:rPr>
          <w:szCs w:val="24"/>
        </w:rPr>
      </w:pPr>
      <w:proofErr w:type="spellStart"/>
      <w:r w:rsidRPr="006C520E">
        <w:rPr>
          <w:szCs w:val="24"/>
        </w:rPr>
        <w:t>Aljassmi</w:t>
      </w:r>
      <w:proofErr w:type="spellEnd"/>
      <w:r w:rsidRPr="006C520E">
        <w:rPr>
          <w:szCs w:val="24"/>
        </w:rPr>
        <w:t xml:space="preserve">, M., Gamal, A.A.M., Abdul Jalil, N., David, J. &amp; Viswanathan, K.K. (2024). Estimating the magnitude of money laundering in the United Arab Emirates (UAE): evidence from the currency demand approach (CDA). </w:t>
      </w:r>
      <w:r w:rsidRPr="006C520E">
        <w:rPr>
          <w:i/>
          <w:iCs/>
          <w:szCs w:val="24"/>
        </w:rPr>
        <w:t>Journal of Money Laundering Control</w:t>
      </w:r>
      <w:r w:rsidRPr="006C520E">
        <w:rPr>
          <w:szCs w:val="24"/>
        </w:rPr>
        <w:t xml:space="preserve">, </w:t>
      </w:r>
      <w:r w:rsidRPr="006C520E">
        <w:rPr>
          <w:i/>
          <w:iCs/>
          <w:szCs w:val="24"/>
        </w:rPr>
        <w:t>27</w:t>
      </w:r>
      <w:r w:rsidRPr="006C520E">
        <w:rPr>
          <w:szCs w:val="24"/>
        </w:rPr>
        <w:t>(2), 332-347. https://doi.org/10.1108/JMLC-02-2023-0043</w:t>
      </w:r>
    </w:p>
    <w:p w14:paraId="42165E83" w14:textId="15F2D0F2" w:rsidR="00517292" w:rsidRPr="006C520E" w:rsidRDefault="00517292" w:rsidP="00E45B7C">
      <w:pPr>
        <w:spacing w:after="0"/>
        <w:ind w:left="720" w:hanging="720"/>
        <w:rPr>
          <w:szCs w:val="24"/>
        </w:rPr>
      </w:pPr>
      <w:r w:rsidRPr="006C520E">
        <w:rPr>
          <w:szCs w:val="24"/>
        </w:rPr>
        <w:t xml:space="preserve">Asiedu, M., Yeboah, E.N. &amp; Boakye, D.O. (2021). Natural resources and the economic growth of west Africa economies. </w:t>
      </w:r>
      <w:r w:rsidRPr="006C520E">
        <w:rPr>
          <w:i/>
          <w:iCs/>
          <w:szCs w:val="24"/>
        </w:rPr>
        <w:t>Applied Economics and Finance</w:t>
      </w:r>
      <w:r w:rsidRPr="006C520E">
        <w:rPr>
          <w:szCs w:val="24"/>
        </w:rPr>
        <w:t xml:space="preserve">, </w:t>
      </w:r>
      <w:r w:rsidRPr="006C520E">
        <w:rPr>
          <w:i/>
          <w:iCs/>
          <w:szCs w:val="24"/>
        </w:rPr>
        <w:t>8</w:t>
      </w:r>
      <w:r w:rsidRPr="006C520E">
        <w:rPr>
          <w:szCs w:val="24"/>
        </w:rPr>
        <w:t>(2), 20-32</w:t>
      </w:r>
      <w:r>
        <w:rPr>
          <w:szCs w:val="24"/>
        </w:rPr>
        <w:t>. https://doi.org</w:t>
      </w:r>
      <w:r w:rsidRPr="006C520E">
        <w:rPr>
          <w:szCs w:val="24"/>
        </w:rPr>
        <w:t xml:space="preserve">/10.11114/aef.v8i2.5157. </w:t>
      </w:r>
    </w:p>
    <w:p w14:paraId="6F34A938" w14:textId="77777777" w:rsidR="00517292" w:rsidRPr="006C520E" w:rsidRDefault="00517292" w:rsidP="00E45B7C">
      <w:pPr>
        <w:spacing w:after="0"/>
        <w:ind w:left="720" w:hanging="720"/>
        <w:rPr>
          <w:rFonts w:cs="Arial"/>
          <w:color w:val="222222"/>
          <w:szCs w:val="24"/>
          <w:shd w:val="clear" w:color="auto" w:fill="FFFFFF"/>
        </w:rPr>
      </w:pPr>
      <w:proofErr w:type="spellStart"/>
      <w:r w:rsidRPr="006C520E">
        <w:rPr>
          <w:rFonts w:cs="Arial"/>
          <w:color w:val="222222"/>
          <w:szCs w:val="24"/>
          <w:highlight w:val="yellow"/>
          <w:shd w:val="clear" w:color="auto" w:fill="FFFFFF"/>
        </w:rPr>
        <w:t>Bilan</w:t>
      </w:r>
      <w:proofErr w:type="spellEnd"/>
      <w:r w:rsidRPr="006C520E">
        <w:rPr>
          <w:rFonts w:cs="Arial"/>
          <w:color w:val="222222"/>
          <w:szCs w:val="24"/>
          <w:highlight w:val="yellow"/>
          <w:shd w:val="clear" w:color="auto" w:fill="FFFFFF"/>
        </w:rPr>
        <w:t xml:space="preserve">, Y., </w:t>
      </w:r>
      <w:proofErr w:type="spellStart"/>
      <w:r w:rsidRPr="006C520E">
        <w:rPr>
          <w:rFonts w:cs="Arial"/>
          <w:color w:val="222222"/>
          <w:szCs w:val="24"/>
          <w:highlight w:val="yellow"/>
          <w:shd w:val="clear" w:color="auto" w:fill="FFFFFF"/>
        </w:rPr>
        <w:t>Tiutiunyk</w:t>
      </w:r>
      <w:proofErr w:type="spellEnd"/>
      <w:r w:rsidRPr="006C520E">
        <w:rPr>
          <w:rFonts w:cs="Arial"/>
          <w:color w:val="222222"/>
          <w:szCs w:val="24"/>
          <w:highlight w:val="yellow"/>
          <w:shd w:val="clear" w:color="auto" w:fill="FFFFFF"/>
        </w:rPr>
        <w:t xml:space="preserve">, I., </w:t>
      </w:r>
      <w:proofErr w:type="spellStart"/>
      <w:r w:rsidRPr="006C520E">
        <w:rPr>
          <w:rFonts w:cs="Arial"/>
          <w:color w:val="222222"/>
          <w:szCs w:val="24"/>
          <w:highlight w:val="yellow"/>
          <w:shd w:val="clear" w:color="auto" w:fill="FFFFFF"/>
        </w:rPr>
        <w:t>Lyeonov</w:t>
      </w:r>
      <w:proofErr w:type="spellEnd"/>
      <w:r w:rsidRPr="006C520E">
        <w:rPr>
          <w:rFonts w:cs="Arial"/>
          <w:color w:val="222222"/>
          <w:szCs w:val="24"/>
          <w:highlight w:val="yellow"/>
          <w:shd w:val="clear" w:color="auto" w:fill="FFFFFF"/>
        </w:rPr>
        <w:t xml:space="preserve">, S., &amp; </w:t>
      </w:r>
      <w:proofErr w:type="spellStart"/>
      <w:r w:rsidRPr="006C520E">
        <w:rPr>
          <w:rFonts w:cs="Arial"/>
          <w:color w:val="222222"/>
          <w:szCs w:val="24"/>
          <w:highlight w:val="yellow"/>
          <w:shd w:val="clear" w:color="auto" w:fill="FFFFFF"/>
        </w:rPr>
        <w:t>Vasylieva</w:t>
      </w:r>
      <w:proofErr w:type="spellEnd"/>
      <w:r w:rsidRPr="006C520E">
        <w:rPr>
          <w:rFonts w:cs="Arial"/>
          <w:color w:val="222222"/>
          <w:szCs w:val="24"/>
          <w:highlight w:val="yellow"/>
          <w:shd w:val="clear" w:color="auto" w:fill="FFFFFF"/>
        </w:rPr>
        <w:t>, T. (2020). Shadow economy and economic development: A panel cointegration and causality analysis. </w:t>
      </w:r>
      <w:r w:rsidRPr="006C520E">
        <w:rPr>
          <w:rFonts w:cs="Arial"/>
          <w:i/>
          <w:iCs/>
          <w:color w:val="222222"/>
          <w:szCs w:val="24"/>
          <w:highlight w:val="yellow"/>
          <w:shd w:val="clear" w:color="auto" w:fill="FFFFFF"/>
        </w:rPr>
        <w:t>International Journal of Economic Policy in Emerging Economies</w:t>
      </w:r>
      <w:r w:rsidRPr="006C520E">
        <w:rPr>
          <w:rFonts w:cs="Arial"/>
          <w:color w:val="222222"/>
          <w:szCs w:val="24"/>
          <w:highlight w:val="yellow"/>
          <w:shd w:val="clear" w:color="auto" w:fill="FFFFFF"/>
        </w:rPr>
        <w:t>, </w:t>
      </w:r>
      <w:r w:rsidRPr="006C520E">
        <w:rPr>
          <w:rFonts w:cs="Arial"/>
          <w:i/>
          <w:iCs/>
          <w:color w:val="222222"/>
          <w:szCs w:val="24"/>
          <w:highlight w:val="yellow"/>
          <w:shd w:val="clear" w:color="auto" w:fill="FFFFFF"/>
        </w:rPr>
        <w:t>13</w:t>
      </w:r>
      <w:r w:rsidRPr="006C520E">
        <w:rPr>
          <w:rFonts w:cs="Arial"/>
          <w:color w:val="222222"/>
          <w:szCs w:val="24"/>
          <w:highlight w:val="yellow"/>
          <w:shd w:val="clear" w:color="auto" w:fill="FFFFFF"/>
        </w:rPr>
        <w:t>(2), 173-193.</w:t>
      </w:r>
    </w:p>
    <w:p w14:paraId="524CBD2F" w14:textId="7148E78A" w:rsidR="00517292" w:rsidRPr="006C520E" w:rsidRDefault="00517292" w:rsidP="00E45B7C">
      <w:pPr>
        <w:spacing w:after="0"/>
        <w:ind w:left="720" w:hanging="720"/>
        <w:rPr>
          <w:szCs w:val="24"/>
        </w:rPr>
      </w:pPr>
      <w:proofErr w:type="spellStart"/>
      <w:r w:rsidRPr="006C520E">
        <w:rPr>
          <w:szCs w:val="24"/>
        </w:rPr>
        <w:t>Bornhorst</w:t>
      </w:r>
      <w:proofErr w:type="spellEnd"/>
      <w:r w:rsidRPr="006C520E">
        <w:rPr>
          <w:szCs w:val="24"/>
        </w:rPr>
        <w:t xml:space="preserve">, F., Gupta, S. &amp; Thornton, J. (2009). Natural resource endowments and the domestic revenue effort. </w:t>
      </w:r>
      <w:r w:rsidRPr="006C520E">
        <w:rPr>
          <w:i/>
          <w:iCs/>
          <w:szCs w:val="24"/>
        </w:rPr>
        <w:t>European Journal of Political Economy</w:t>
      </w:r>
      <w:r w:rsidRPr="006C520E">
        <w:rPr>
          <w:szCs w:val="24"/>
        </w:rPr>
        <w:t>, 25(4), 439-446</w:t>
      </w:r>
      <w:r>
        <w:rPr>
          <w:szCs w:val="24"/>
        </w:rPr>
        <w:t>. https://doi.org</w:t>
      </w:r>
      <w:r w:rsidRPr="006C520E">
        <w:rPr>
          <w:szCs w:val="24"/>
        </w:rPr>
        <w:t xml:space="preserve">/10.1016/j.ejpoleco.2009.01.003 </w:t>
      </w:r>
    </w:p>
    <w:p w14:paraId="65028705" w14:textId="397FDF83" w:rsidR="00517292" w:rsidRDefault="00517292" w:rsidP="007A6A82">
      <w:pPr>
        <w:spacing w:after="0"/>
        <w:ind w:left="720" w:hanging="720"/>
        <w:rPr>
          <w:szCs w:val="24"/>
        </w:rPr>
      </w:pPr>
      <w:r w:rsidRPr="00B55CEF">
        <w:rPr>
          <w:szCs w:val="24"/>
        </w:rPr>
        <w:t xml:space="preserve">Brown, R.L., Durbin, J., &amp; Evans, J.M. (1975). Techniques for testing the constancy of regression relationships over time. </w:t>
      </w:r>
      <w:r w:rsidRPr="00B55CEF">
        <w:rPr>
          <w:i/>
          <w:iCs/>
          <w:szCs w:val="24"/>
        </w:rPr>
        <w:t>Journal of the Royal Statistical Society Series B: Statistical Methodology</w:t>
      </w:r>
      <w:r w:rsidRPr="00B55CEF">
        <w:rPr>
          <w:szCs w:val="24"/>
        </w:rPr>
        <w:t xml:space="preserve">, 37(2), 149-163. </w:t>
      </w:r>
    </w:p>
    <w:p w14:paraId="2D02A794" w14:textId="0EA79B2D" w:rsidR="00517292" w:rsidRPr="006C520E" w:rsidRDefault="00517292" w:rsidP="005E5930">
      <w:pPr>
        <w:spacing w:after="0"/>
        <w:ind w:left="720" w:hanging="720"/>
        <w:rPr>
          <w:szCs w:val="24"/>
        </w:rPr>
      </w:pPr>
      <w:proofErr w:type="spellStart"/>
      <w:r w:rsidRPr="006C520E">
        <w:rPr>
          <w:rFonts w:cs="Times New Roman"/>
          <w:szCs w:val="24"/>
          <w:highlight w:val="yellow"/>
        </w:rPr>
        <w:t>Brunnschweiler</w:t>
      </w:r>
      <w:proofErr w:type="spellEnd"/>
      <w:r w:rsidRPr="006C520E">
        <w:rPr>
          <w:rFonts w:cs="Times New Roman"/>
          <w:szCs w:val="24"/>
          <w:highlight w:val="yellow"/>
        </w:rPr>
        <w:t>, C.N. (2008). Cursing the blessings? Natural resource abundance, institutions, and economic growth. World development, 36(3), 399-419.</w:t>
      </w:r>
    </w:p>
    <w:p w14:paraId="59E3ADA8" w14:textId="77777777" w:rsidR="00517292" w:rsidRPr="006C520E" w:rsidRDefault="00517292" w:rsidP="00E45B7C">
      <w:pPr>
        <w:spacing w:after="0"/>
        <w:ind w:left="720" w:hanging="720"/>
        <w:rPr>
          <w:szCs w:val="24"/>
        </w:rPr>
      </w:pPr>
      <w:r w:rsidRPr="006C520E">
        <w:rPr>
          <w:szCs w:val="24"/>
        </w:rPr>
        <w:t xml:space="preserve">Camara, M. (2022). The impact of the shadow economy on economic growth and CO2 emissions: evidence from ECOWAS countries. </w:t>
      </w:r>
      <w:r w:rsidRPr="006C520E">
        <w:rPr>
          <w:i/>
          <w:iCs/>
          <w:szCs w:val="24"/>
        </w:rPr>
        <w:t>Environmental Science and Pollution Research</w:t>
      </w:r>
      <w:r w:rsidRPr="006C520E">
        <w:rPr>
          <w:szCs w:val="24"/>
        </w:rPr>
        <w:t xml:space="preserve">, 29, 65739-65754. https://doi.org/10.1007/s11356-022-20360-5 </w:t>
      </w:r>
    </w:p>
    <w:p w14:paraId="0E89FE85" w14:textId="77777777" w:rsidR="00517292" w:rsidRPr="006C520E" w:rsidRDefault="00517292" w:rsidP="00E45B7C">
      <w:pPr>
        <w:spacing w:after="0"/>
        <w:ind w:left="720" w:hanging="720"/>
        <w:rPr>
          <w:szCs w:val="24"/>
        </w:rPr>
      </w:pPr>
      <w:r w:rsidRPr="006C520E">
        <w:rPr>
          <w:szCs w:val="24"/>
        </w:rPr>
        <w:t xml:space="preserve">Central Bank of Nigeria. (2022). </w:t>
      </w:r>
      <w:r w:rsidRPr="006C520E">
        <w:rPr>
          <w:i/>
          <w:iCs/>
          <w:szCs w:val="24"/>
        </w:rPr>
        <w:t>Central Bank of Nigeria Statistical Bulletin</w:t>
      </w:r>
      <w:r w:rsidRPr="006C520E">
        <w:rPr>
          <w:szCs w:val="24"/>
        </w:rPr>
        <w:t>,33, Central Bank of Nigeria (CBN), Abuja, Nigeria, available at: https://statistics.cbn.gov.ng/cbn-onlinestats/DataBrowser.aspx</w:t>
      </w:r>
    </w:p>
    <w:p w14:paraId="5EF5EACA" w14:textId="77777777" w:rsidR="00517292" w:rsidRPr="006C520E" w:rsidRDefault="00517292" w:rsidP="00E45B7C">
      <w:pPr>
        <w:spacing w:after="0"/>
        <w:ind w:left="720" w:hanging="720"/>
        <w:rPr>
          <w:szCs w:val="24"/>
        </w:rPr>
      </w:pPr>
      <w:proofErr w:type="spellStart"/>
      <w:r w:rsidRPr="006C520E">
        <w:rPr>
          <w:szCs w:val="24"/>
        </w:rPr>
        <w:t>Cholette</w:t>
      </w:r>
      <w:proofErr w:type="spellEnd"/>
      <w:r w:rsidRPr="006C520E">
        <w:rPr>
          <w:szCs w:val="24"/>
        </w:rPr>
        <w:t xml:space="preserve">, P. (1984). Adjusting sub-annual series to yearly benchmarks. </w:t>
      </w:r>
      <w:r w:rsidRPr="006C520E">
        <w:rPr>
          <w:i/>
          <w:iCs/>
          <w:szCs w:val="24"/>
        </w:rPr>
        <w:t>Survey Methodology</w:t>
      </w:r>
      <w:r w:rsidRPr="006C520E">
        <w:rPr>
          <w:szCs w:val="24"/>
        </w:rPr>
        <w:t xml:space="preserve">, </w:t>
      </w:r>
      <w:r w:rsidRPr="006C520E">
        <w:rPr>
          <w:i/>
          <w:iCs/>
          <w:szCs w:val="24"/>
        </w:rPr>
        <w:t>10</w:t>
      </w:r>
      <w:r w:rsidRPr="006C520E">
        <w:rPr>
          <w:szCs w:val="24"/>
        </w:rPr>
        <w:t>, 35-49.</w:t>
      </w:r>
    </w:p>
    <w:p w14:paraId="1B3D233F" w14:textId="1B7C4E8E" w:rsidR="00517292" w:rsidRPr="006C520E" w:rsidRDefault="00517292" w:rsidP="00F11E9A">
      <w:pPr>
        <w:spacing w:after="0"/>
        <w:ind w:left="720" w:hanging="720"/>
        <w:rPr>
          <w:szCs w:val="24"/>
        </w:rPr>
      </w:pPr>
      <w:r w:rsidRPr="006C520E">
        <w:rPr>
          <w:rFonts w:cs="Arial"/>
          <w:color w:val="222222"/>
          <w:szCs w:val="24"/>
          <w:highlight w:val="yellow"/>
          <w:shd w:val="clear" w:color="auto" w:fill="FFFFFF"/>
        </w:rPr>
        <w:t xml:space="preserve">Dada, J.T., &amp; </w:t>
      </w:r>
      <w:proofErr w:type="spellStart"/>
      <w:r w:rsidRPr="006C520E">
        <w:rPr>
          <w:rFonts w:cs="Arial"/>
          <w:color w:val="222222"/>
          <w:szCs w:val="24"/>
          <w:highlight w:val="yellow"/>
          <w:shd w:val="clear" w:color="auto" w:fill="FFFFFF"/>
        </w:rPr>
        <w:t>Abanikanda</w:t>
      </w:r>
      <w:proofErr w:type="spellEnd"/>
      <w:r w:rsidRPr="006C520E">
        <w:rPr>
          <w:rFonts w:cs="Arial"/>
          <w:color w:val="222222"/>
          <w:szCs w:val="24"/>
          <w:highlight w:val="yellow"/>
          <w:shd w:val="clear" w:color="auto" w:fill="FFFFFF"/>
        </w:rPr>
        <w:t>, E.O. (2019). How important is oil revenue in Nigerian growth process? Evidence from a threshold regression. </w:t>
      </w:r>
      <w:r w:rsidRPr="006C520E">
        <w:rPr>
          <w:rFonts w:cs="Arial"/>
          <w:i/>
          <w:iCs/>
          <w:color w:val="222222"/>
          <w:szCs w:val="24"/>
          <w:highlight w:val="yellow"/>
          <w:shd w:val="clear" w:color="auto" w:fill="FFFFFF"/>
        </w:rPr>
        <w:t>International Journal of Sustainable Economy</w:t>
      </w:r>
      <w:r w:rsidRPr="006C520E">
        <w:rPr>
          <w:rFonts w:cs="Arial"/>
          <w:color w:val="222222"/>
          <w:szCs w:val="24"/>
          <w:highlight w:val="yellow"/>
          <w:shd w:val="clear" w:color="auto" w:fill="FFFFFF"/>
        </w:rPr>
        <w:t>, </w:t>
      </w:r>
      <w:r w:rsidRPr="006C520E">
        <w:rPr>
          <w:rFonts w:cs="Arial"/>
          <w:i/>
          <w:iCs/>
          <w:color w:val="222222"/>
          <w:szCs w:val="24"/>
          <w:highlight w:val="yellow"/>
          <w:shd w:val="clear" w:color="auto" w:fill="FFFFFF"/>
        </w:rPr>
        <w:t>11</w:t>
      </w:r>
      <w:r w:rsidRPr="006C520E">
        <w:rPr>
          <w:rFonts w:cs="Arial"/>
          <w:color w:val="222222"/>
          <w:szCs w:val="24"/>
          <w:highlight w:val="yellow"/>
          <w:shd w:val="clear" w:color="auto" w:fill="FFFFFF"/>
        </w:rPr>
        <w:t>(4), 364-377.</w:t>
      </w:r>
    </w:p>
    <w:p w14:paraId="137DF5E4" w14:textId="0ADE5676" w:rsidR="00517292" w:rsidRPr="006C520E" w:rsidRDefault="00517292" w:rsidP="006B7683">
      <w:pPr>
        <w:spacing w:after="0"/>
        <w:ind w:left="720" w:hanging="720"/>
        <w:rPr>
          <w:szCs w:val="24"/>
        </w:rPr>
      </w:pPr>
      <w:r w:rsidRPr="00517292">
        <w:rPr>
          <w:rFonts w:eastAsia="Times New Roman" w:cs="Times New Roman"/>
          <w:szCs w:val="24"/>
          <w:highlight w:val="yellow"/>
        </w:rPr>
        <w:lastRenderedPageBreak/>
        <w:t xml:space="preserve">Dada, J.T., </w:t>
      </w:r>
      <w:proofErr w:type="spellStart"/>
      <w:r w:rsidRPr="00517292">
        <w:rPr>
          <w:rFonts w:eastAsia="Times New Roman" w:cs="Times New Roman"/>
          <w:szCs w:val="24"/>
          <w:highlight w:val="yellow"/>
        </w:rPr>
        <w:t>Ajide</w:t>
      </w:r>
      <w:proofErr w:type="spellEnd"/>
      <w:r w:rsidRPr="00517292">
        <w:rPr>
          <w:rFonts w:eastAsia="Times New Roman" w:cs="Times New Roman"/>
          <w:szCs w:val="24"/>
          <w:highlight w:val="yellow"/>
        </w:rPr>
        <w:t>, F.M., Arnaut, M., &amp; Al-</w:t>
      </w:r>
      <w:proofErr w:type="spellStart"/>
      <w:r w:rsidRPr="00517292">
        <w:rPr>
          <w:rFonts w:eastAsia="Times New Roman" w:cs="Times New Roman"/>
          <w:szCs w:val="24"/>
          <w:highlight w:val="yellow"/>
        </w:rPr>
        <w:t>Faryan</w:t>
      </w:r>
      <w:proofErr w:type="spellEnd"/>
      <w:r w:rsidRPr="00517292">
        <w:rPr>
          <w:rFonts w:eastAsia="Times New Roman" w:cs="Times New Roman"/>
          <w:szCs w:val="24"/>
          <w:highlight w:val="yellow"/>
        </w:rPr>
        <w:t>, M.A.S. (202</w:t>
      </w:r>
      <w:r w:rsidR="006560F0">
        <w:rPr>
          <w:rFonts w:eastAsia="Times New Roman" w:cs="Times New Roman"/>
          <w:szCs w:val="24"/>
          <w:highlight w:val="yellow"/>
        </w:rPr>
        <w:t>4</w:t>
      </w:r>
      <w:r w:rsidRPr="00517292">
        <w:rPr>
          <w:rFonts w:eastAsia="Times New Roman" w:cs="Times New Roman"/>
          <w:szCs w:val="24"/>
          <w:highlight w:val="yellow"/>
        </w:rPr>
        <w:t xml:space="preserve">). On the contributing factors to shadow economy in Africa: Do natural resources, ethnicity and religious diversity make any difference? </w:t>
      </w:r>
      <w:r w:rsidRPr="00517292">
        <w:rPr>
          <w:rFonts w:eastAsia="Times New Roman" w:cs="Times New Roman"/>
          <w:i/>
          <w:iCs/>
          <w:szCs w:val="24"/>
          <w:highlight w:val="yellow"/>
        </w:rPr>
        <w:t>Resources Policy</w:t>
      </w:r>
      <w:r w:rsidRPr="00517292">
        <w:rPr>
          <w:rFonts w:eastAsia="Times New Roman" w:cs="Times New Roman"/>
          <w:szCs w:val="24"/>
          <w:highlight w:val="yellow"/>
        </w:rPr>
        <w:t xml:space="preserve">, </w:t>
      </w:r>
      <w:r w:rsidRPr="00517292">
        <w:rPr>
          <w:rFonts w:eastAsia="Times New Roman" w:cs="Times New Roman"/>
          <w:i/>
          <w:iCs/>
          <w:szCs w:val="24"/>
          <w:highlight w:val="yellow"/>
        </w:rPr>
        <w:t>88</w:t>
      </w:r>
      <w:r w:rsidRPr="00517292">
        <w:rPr>
          <w:rFonts w:eastAsia="Times New Roman" w:cs="Times New Roman"/>
          <w:szCs w:val="24"/>
          <w:highlight w:val="yellow"/>
        </w:rPr>
        <w:t>, 104478. https://doi.org/10.1016/j.resourpol.2023.104478</w:t>
      </w:r>
    </w:p>
    <w:p w14:paraId="7FA61882" w14:textId="1C6754EB" w:rsidR="001E5022" w:rsidRPr="006C520E" w:rsidRDefault="00517292" w:rsidP="001E5022">
      <w:pPr>
        <w:spacing w:after="0"/>
        <w:ind w:left="720" w:hanging="720"/>
        <w:rPr>
          <w:szCs w:val="24"/>
        </w:rPr>
      </w:pPr>
      <w:r w:rsidRPr="006C520E">
        <w:rPr>
          <w:szCs w:val="24"/>
        </w:rPr>
        <w:t xml:space="preserve">David, J. (2024). The role of corruption in the oil price-growth relationship: Insights from oil-rich economies. </w:t>
      </w:r>
      <w:r w:rsidRPr="006C520E">
        <w:rPr>
          <w:i/>
          <w:iCs/>
          <w:szCs w:val="24"/>
        </w:rPr>
        <w:t>Economic Change and Restructuring</w:t>
      </w:r>
      <w:r w:rsidR="001E5022">
        <w:rPr>
          <w:szCs w:val="24"/>
        </w:rPr>
        <w:t xml:space="preserve">, </w:t>
      </w:r>
      <w:r w:rsidR="001E5022" w:rsidRPr="001E5022">
        <w:rPr>
          <w:i/>
          <w:iCs/>
          <w:szCs w:val="24"/>
        </w:rPr>
        <w:t>57</w:t>
      </w:r>
      <w:r w:rsidR="001E5022">
        <w:rPr>
          <w:szCs w:val="24"/>
        </w:rPr>
        <w:t>(246)</w:t>
      </w:r>
      <w:r w:rsidRPr="006C520E">
        <w:rPr>
          <w:i/>
          <w:iCs/>
          <w:szCs w:val="24"/>
        </w:rPr>
        <w:t>.</w:t>
      </w:r>
      <w:r w:rsidRPr="006C520E">
        <w:rPr>
          <w:szCs w:val="24"/>
        </w:rPr>
        <w:t xml:space="preserve"> </w:t>
      </w:r>
      <w:r w:rsidR="001E5022" w:rsidRPr="001E5022">
        <w:rPr>
          <w:szCs w:val="24"/>
        </w:rPr>
        <w:t>https://doi.org/10.1007/s10644-024-09808-5</w:t>
      </w:r>
    </w:p>
    <w:p w14:paraId="075ADF31" w14:textId="10FE4BEE" w:rsidR="00517292" w:rsidRPr="006C520E" w:rsidRDefault="00517292" w:rsidP="00E45B7C">
      <w:pPr>
        <w:spacing w:after="0"/>
        <w:ind w:left="720" w:hanging="720"/>
        <w:rPr>
          <w:szCs w:val="24"/>
        </w:rPr>
      </w:pPr>
      <w:r w:rsidRPr="006C520E">
        <w:rPr>
          <w:szCs w:val="24"/>
        </w:rPr>
        <w:t>David, J., Abu, N. &amp; Owolabi, A. (202</w:t>
      </w:r>
      <w:r>
        <w:rPr>
          <w:szCs w:val="24"/>
        </w:rPr>
        <w:t>5</w:t>
      </w:r>
      <w:r w:rsidRPr="006C520E">
        <w:rPr>
          <w:szCs w:val="24"/>
        </w:rPr>
        <w:t xml:space="preserve">). The moderating role of corruption in the oil price-economic growth relationship in an oil-dependent economy: Evidence from Bootstrap ARDL with a Fourier Function. </w:t>
      </w:r>
      <w:r w:rsidRPr="006C520E">
        <w:rPr>
          <w:i/>
          <w:iCs/>
          <w:szCs w:val="24"/>
        </w:rPr>
        <w:t>Alternative Economics</w:t>
      </w:r>
      <w:r w:rsidRPr="006C520E">
        <w:rPr>
          <w:szCs w:val="24"/>
        </w:rPr>
        <w:t>, Forthcoming</w:t>
      </w:r>
      <w:r>
        <w:rPr>
          <w:szCs w:val="24"/>
        </w:rPr>
        <w:t>. https://doi.org</w:t>
      </w:r>
      <w:r w:rsidRPr="006C520E">
        <w:rPr>
          <w:szCs w:val="24"/>
        </w:rPr>
        <w:t>/10.13140/RG.2.2.32652.28800/</w:t>
      </w:r>
      <w:r>
        <w:rPr>
          <w:szCs w:val="24"/>
        </w:rPr>
        <w:t>2</w:t>
      </w:r>
    </w:p>
    <w:p w14:paraId="44311432" w14:textId="77777777" w:rsidR="00517292" w:rsidRPr="006C520E" w:rsidRDefault="00517292" w:rsidP="00E45B7C">
      <w:pPr>
        <w:spacing w:after="0"/>
        <w:ind w:left="720" w:hanging="720"/>
        <w:rPr>
          <w:szCs w:val="24"/>
        </w:rPr>
      </w:pPr>
      <w:r w:rsidRPr="006C520E">
        <w:rPr>
          <w:szCs w:val="24"/>
        </w:rPr>
        <w:t xml:space="preserve">David, J., Gamal, A.A.M., </w:t>
      </w:r>
      <w:proofErr w:type="spellStart"/>
      <w:r w:rsidRPr="006C520E">
        <w:rPr>
          <w:szCs w:val="24"/>
        </w:rPr>
        <w:t>Mohd</w:t>
      </w:r>
      <w:proofErr w:type="spellEnd"/>
      <w:r w:rsidRPr="006C520E">
        <w:rPr>
          <w:szCs w:val="24"/>
        </w:rPr>
        <w:t xml:space="preserve"> Noor, M.A. &amp; Zakariya, Z. (2024). Oil rent, corruption and economic growth relationship in Nigeria: evidence from various estimation techniques”, </w:t>
      </w:r>
      <w:r w:rsidRPr="006C520E">
        <w:rPr>
          <w:i/>
          <w:iCs/>
          <w:szCs w:val="24"/>
        </w:rPr>
        <w:t>Journal of Money Laundering Control</w:t>
      </w:r>
      <w:r w:rsidRPr="006C520E">
        <w:rPr>
          <w:szCs w:val="24"/>
        </w:rPr>
        <w:t>, Forthcoming. https://doi.org/10.1108/JMLC-10-2023-0160.</w:t>
      </w:r>
    </w:p>
    <w:p w14:paraId="29E0A140" w14:textId="34FA04F4" w:rsidR="00517292" w:rsidRPr="006C520E" w:rsidRDefault="00517292" w:rsidP="00E45B7C">
      <w:pPr>
        <w:spacing w:after="0"/>
        <w:ind w:left="720" w:hanging="720"/>
        <w:rPr>
          <w:szCs w:val="24"/>
        </w:rPr>
      </w:pPr>
      <w:r w:rsidRPr="006C520E">
        <w:rPr>
          <w:szCs w:val="24"/>
        </w:rPr>
        <w:t xml:space="preserve">Denton, F.T. (1971). Adjustment of monthly or quarterly series to annual totals: an approach based on quadratic minimization”, </w:t>
      </w:r>
      <w:r w:rsidRPr="006C520E">
        <w:rPr>
          <w:i/>
          <w:iCs/>
          <w:szCs w:val="24"/>
        </w:rPr>
        <w:t>Journal of the American Statistical Association</w:t>
      </w:r>
      <w:r w:rsidRPr="006C520E">
        <w:rPr>
          <w:szCs w:val="24"/>
        </w:rPr>
        <w:t>, 66(333), 99-102</w:t>
      </w:r>
      <w:r>
        <w:rPr>
          <w:szCs w:val="24"/>
        </w:rPr>
        <w:t>. https://doi.org</w:t>
      </w:r>
      <w:r w:rsidRPr="006C520E">
        <w:rPr>
          <w:szCs w:val="24"/>
        </w:rPr>
        <w:t>/10.1080/01621459.1971.10482227</w:t>
      </w:r>
    </w:p>
    <w:p w14:paraId="2996DAFC" w14:textId="79C5553A" w:rsidR="00517292" w:rsidRPr="006C520E" w:rsidRDefault="00517292" w:rsidP="00E45B7C">
      <w:pPr>
        <w:spacing w:after="0"/>
        <w:ind w:left="720" w:hanging="720"/>
        <w:rPr>
          <w:szCs w:val="24"/>
        </w:rPr>
      </w:pPr>
      <w:proofErr w:type="spellStart"/>
      <w:r w:rsidRPr="006C520E">
        <w:rPr>
          <w:szCs w:val="24"/>
        </w:rPr>
        <w:t>Ehigiamusoe</w:t>
      </w:r>
      <w:proofErr w:type="spellEnd"/>
      <w:r w:rsidRPr="006C520E">
        <w:rPr>
          <w:szCs w:val="24"/>
        </w:rPr>
        <w:t xml:space="preserve">, K.U., and Lean, H.H. (2020). The role of deficit and debt in financing growth in West Africa. </w:t>
      </w:r>
      <w:r w:rsidRPr="006C520E">
        <w:rPr>
          <w:i/>
          <w:iCs/>
          <w:szCs w:val="24"/>
        </w:rPr>
        <w:t xml:space="preserve">Journal of Policy </w:t>
      </w:r>
      <w:proofErr w:type="spellStart"/>
      <w:r w:rsidRPr="006C520E">
        <w:rPr>
          <w:i/>
          <w:iCs/>
          <w:szCs w:val="24"/>
        </w:rPr>
        <w:t>Modeling</w:t>
      </w:r>
      <w:proofErr w:type="spellEnd"/>
      <w:r w:rsidRPr="006C520E">
        <w:rPr>
          <w:szCs w:val="24"/>
        </w:rPr>
        <w:t xml:space="preserve">, </w:t>
      </w:r>
      <w:r w:rsidRPr="006C520E">
        <w:rPr>
          <w:i/>
          <w:iCs/>
          <w:szCs w:val="24"/>
        </w:rPr>
        <w:t>42</w:t>
      </w:r>
      <w:r w:rsidRPr="006C520E">
        <w:rPr>
          <w:szCs w:val="24"/>
        </w:rPr>
        <w:t>(1, 216-234</w:t>
      </w:r>
      <w:r>
        <w:rPr>
          <w:szCs w:val="24"/>
        </w:rPr>
        <w:t>. https://doi.org</w:t>
      </w:r>
      <w:r w:rsidRPr="006C520E">
        <w:rPr>
          <w:szCs w:val="24"/>
        </w:rPr>
        <w:t>/10.1016/j.jpolmod.2019.08.001</w:t>
      </w:r>
    </w:p>
    <w:p w14:paraId="1B5BBB02" w14:textId="5D2984A1" w:rsidR="00517292" w:rsidRPr="006C520E" w:rsidRDefault="00517292" w:rsidP="00E45B7C">
      <w:pPr>
        <w:spacing w:after="0"/>
        <w:ind w:left="720" w:hanging="720"/>
        <w:rPr>
          <w:szCs w:val="24"/>
        </w:rPr>
      </w:pPr>
      <w:proofErr w:type="spellStart"/>
      <w:r w:rsidRPr="006C520E">
        <w:rPr>
          <w:szCs w:val="24"/>
        </w:rPr>
        <w:t>Ehigiamusoe</w:t>
      </w:r>
      <w:proofErr w:type="spellEnd"/>
      <w:r w:rsidRPr="006C520E">
        <w:rPr>
          <w:szCs w:val="24"/>
        </w:rPr>
        <w:t xml:space="preserve">, K.U., Lean, H.H. &amp; Lee, CC. (2019). Moderating effect of inflation on the finance–growth nexus: insights from West African countries. </w:t>
      </w:r>
      <w:r w:rsidRPr="006C520E">
        <w:rPr>
          <w:i/>
          <w:iCs/>
          <w:szCs w:val="24"/>
        </w:rPr>
        <w:t>Empirical Economics</w:t>
      </w:r>
      <w:r w:rsidRPr="006C520E">
        <w:rPr>
          <w:szCs w:val="24"/>
        </w:rPr>
        <w:t>, 57, 399-422</w:t>
      </w:r>
      <w:r>
        <w:rPr>
          <w:szCs w:val="24"/>
        </w:rPr>
        <w:t>. https://doi.org</w:t>
      </w:r>
      <w:r w:rsidRPr="006C520E">
        <w:rPr>
          <w:szCs w:val="24"/>
        </w:rPr>
        <w:t>/10.1007/s00181-018-1442-7.</w:t>
      </w:r>
    </w:p>
    <w:p w14:paraId="2921FDD1" w14:textId="3E34ECBB" w:rsidR="00517292" w:rsidRPr="006C520E" w:rsidRDefault="00517292" w:rsidP="00E45B7C">
      <w:pPr>
        <w:spacing w:after="0"/>
        <w:ind w:left="720" w:hanging="720"/>
        <w:rPr>
          <w:szCs w:val="24"/>
        </w:rPr>
      </w:pPr>
      <w:proofErr w:type="spellStart"/>
      <w:r w:rsidRPr="006C520E">
        <w:rPr>
          <w:szCs w:val="24"/>
        </w:rPr>
        <w:t>Eregha</w:t>
      </w:r>
      <w:proofErr w:type="spellEnd"/>
      <w:r w:rsidRPr="006C520E">
        <w:rPr>
          <w:szCs w:val="24"/>
        </w:rPr>
        <w:t xml:space="preserve">, P.B., and </w:t>
      </w:r>
      <w:proofErr w:type="spellStart"/>
      <w:r w:rsidRPr="006C520E">
        <w:rPr>
          <w:szCs w:val="24"/>
        </w:rPr>
        <w:t>Mesagan</w:t>
      </w:r>
      <w:proofErr w:type="spellEnd"/>
      <w:r w:rsidRPr="006C520E">
        <w:rPr>
          <w:szCs w:val="24"/>
        </w:rPr>
        <w:t xml:space="preserve">, E.P. (2020). Oil resources, deficit financing and per capita GDP growth in selected oil-rich African nations: A dynamic heterogeneous panel approach. </w:t>
      </w:r>
      <w:r w:rsidRPr="006C520E">
        <w:rPr>
          <w:i/>
          <w:iCs/>
          <w:szCs w:val="24"/>
        </w:rPr>
        <w:t>Resources Policy</w:t>
      </w:r>
      <w:r w:rsidRPr="006C520E">
        <w:rPr>
          <w:szCs w:val="24"/>
        </w:rPr>
        <w:t>, 66, p. 101615</w:t>
      </w:r>
      <w:r>
        <w:rPr>
          <w:szCs w:val="24"/>
        </w:rPr>
        <w:t>. https://doi.org</w:t>
      </w:r>
      <w:r w:rsidRPr="006C520E">
        <w:rPr>
          <w:szCs w:val="24"/>
        </w:rPr>
        <w:t xml:space="preserve">/10.1016/j.resourpol.2020.101615 </w:t>
      </w:r>
    </w:p>
    <w:p w14:paraId="1812F659" w14:textId="77777777" w:rsidR="00517292" w:rsidRDefault="00517292" w:rsidP="00F11E9A">
      <w:pPr>
        <w:spacing w:after="0"/>
        <w:ind w:left="720" w:hanging="720"/>
        <w:rPr>
          <w:szCs w:val="24"/>
        </w:rPr>
      </w:pPr>
      <w:r w:rsidRPr="00AF13FA">
        <w:rPr>
          <w:szCs w:val="24"/>
        </w:rPr>
        <w:t xml:space="preserve">Gamal, A. A. M., David, J., Noor, M. A. M., </w:t>
      </w:r>
      <w:proofErr w:type="spellStart"/>
      <w:r w:rsidRPr="00AF13FA">
        <w:rPr>
          <w:szCs w:val="24"/>
        </w:rPr>
        <w:t>Hussin</w:t>
      </w:r>
      <w:proofErr w:type="spellEnd"/>
      <w:r w:rsidRPr="00AF13FA">
        <w:rPr>
          <w:szCs w:val="24"/>
        </w:rPr>
        <w:t xml:space="preserve">, M. Y. M., &amp; Viswanathan, K. K. (2024). Asymmetric effect of shadow economy on environmental pollution in </w:t>
      </w:r>
      <w:r>
        <w:rPr>
          <w:szCs w:val="24"/>
        </w:rPr>
        <w:t>E</w:t>
      </w:r>
      <w:r w:rsidRPr="00AF13FA">
        <w:rPr>
          <w:szCs w:val="24"/>
        </w:rPr>
        <w:t xml:space="preserve">gypt: evidence from bootstrap NARDL </w:t>
      </w:r>
      <w:r>
        <w:rPr>
          <w:szCs w:val="24"/>
        </w:rPr>
        <w:t>t</w:t>
      </w:r>
      <w:r w:rsidRPr="00AF13FA">
        <w:rPr>
          <w:szCs w:val="24"/>
        </w:rPr>
        <w:t xml:space="preserve">echnique. </w:t>
      </w:r>
      <w:r w:rsidRPr="00AF13FA">
        <w:rPr>
          <w:i/>
          <w:iCs/>
          <w:szCs w:val="24"/>
        </w:rPr>
        <w:t>International Journal of Energy Economics and Policy</w:t>
      </w:r>
      <w:r w:rsidRPr="00AF13FA">
        <w:rPr>
          <w:szCs w:val="24"/>
        </w:rPr>
        <w:t>, 14(3), 206-215.</w:t>
      </w:r>
    </w:p>
    <w:p w14:paraId="2A816962" w14:textId="77777777" w:rsidR="00517292" w:rsidRPr="006C520E" w:rsidRDefault="00517292" w:rsidP="00E45B7C">
      <w:pPr>
        <w:spacing w:after="0"/>
        <w:ind w:left="720" w:hanging="720"/>
        <w:rPr>
          <w:szCs w:val="24"/>
        </w:rPr>
      </w:pPr>
      <w:r w:rsidRPr="006C520E">
        <w:rPr>
          <w:szCs w:val="24"/>
        </w:rPr>
        <w:t xml:space="preserve">Goel, R.K., </w:t>
      </w:r>
      <w:proofErr w:type="spellStart"/>
      <w:r w:rsidRPr="006C520E">
        <w:rPr>
          <w:szCs w:val="24"/>
        </w:rPr>
        <w:t>Saunoris</w:t>
      </w:r>
      <w:proofErr w:type="spellEnd"/>
      <w:r w:rsidRPr="006C520E">
        <w:rPr>
          <w:szCs w:val="24"/>
        </w:rPr>
        <w:t xml:space="preserve">, J.W. &amp; Schneider, F. (2018). Growth in the shadows: effect of the shadow economy on U.S. economic growth over more than a century. </w:t>
      </w:r>
      <w:r w:rsidRPr="006C520E">
        <w:rPr>
          <w:i/>
          <w:iCs/>
          <w:szCs w:val="24"/>
        </w:rPr>
        <w:t>Contemporary Economic Policy</w:t>
      </w:r>
      <w:r w:rsidRPr="006C520E">
        <w:rPr>
          <w:szCs w:val="24"/>
        </w:rPr>
        <w:t xml:space="preserve">, 37(1), 50-67. https://doi.org/10.1111/coep.12288 </w:t>
      </w:r>
    </w:p>
    <w:p w14:paraId="41B49F28" w14:textId="77777777" w:rsidR="00517292" w:rsidRPr="006C520E" w:rsidRDefault="00517292" w:rsidP="00E45B7C">
      <w:pPr>
        <w:spacing w:after="0"/>
        <w:ind w:left="720" w:hanging="720"/>
        <w:rPr>
          <w:szCs w:val="24"/>
        </w:rPr>
      </w:pPr>
      <w:r w:rsidRPr="006C520E">
        <w:rPr>
          <w:szCs w:val="24"/>
        </w:rPr>
        <w:t xml:space="preserve">Ha, J., </w:t>
      </w:r>
      <w:proofErr w:type="spellStart"/>
      <w:r w:rsidRPr="006C520E">
        <w:rPr>
          <w:szCs w:val="24"/>
        </w:rPr>
        <w:t>Kose</w:t>
      </w:r>
      <w:proofErr w:type="spellEnd"/>
      <w:r w:rsidRPr="006C520E">
        <w:rPr>
          <w:szCs w:val="24"/>
        </w:rPr>
        <w:t xml:space="preserve">, M.A. &amp; </w:t>
      </w:r>
      <w:proofErr w:type="spellStart"/>
      <w:r w:rsidRPr="006C520E">
        <w:rPr>
          <w:szCs w:val="24"/>
        </w:rPr>
        <w:t>Ohnsorge</w:t>
      </w:r>
      <w:proofErr w:type="spellEnd"/>
      <w:r w:rsidRPr="006C520E">
        <w:rPr>
          <w:szCs w:val="24"/>
        </w:rPr>
        <w:t xml:space="preserve"> F. (2021). One-stop source: a global database of inflation”, </w:t>
      </w:r>
      <w:r w:rsidRPr="006C520E">
        <w:rPr>
          <w:i/>
          <w:iCs/>
          <w:szCs w:val="24"/>
        </w:rPr>
        <w:t>Policy Research Working Paper</w:t>
      </w:r>
      <w:r w:rsidRPr="006C520E">
        <w:rPr>
          <w:szCs w:val="24"/>
        </w:rPr>
        <w:t>, 9737. World Bank, Washington, DC.</w:t>
      </w:r>
    </w:p>
    <w:p w14:paraId="494A911B" w14:textId="04F2CE9E" w:rsidR="00517292" w:rsidRPr="006C520E" w:rsidRDefault="00517292" w:rsidP="00E45B7C">
      <w:pPr>
        <w:spacing w:after="0"/>
        <w:ind w:left="720" w:hanging="720"/>
        <w:rPr>
          <w:szCs w:val="24"/>
        </w:rPr>
      </w:pPr>
      <w:r w:rsidRPr="006C520E">
        <w:rPr>
          <w:szCs w:val="24"/>
        </w:rPr>
        <w:t xml:space="preserve">Herbert, W.E., </w:t>
      </w:r>
      <w:proofErr w:type="spellStart"/>
      <w:r w:rsidRPr="006C520E">
        <w:rPr>
          <w:szCs w:val="24"/>
        </w:rPr>
        <w:t>Nwarogu</w:t>
      </w:r>
      <w:proofErr w:type="spellEnd"/>
      <w:r w:rsidRPr="006C520E">
        <w:rPr>
          <w:szCs w:val="24"/>
        </w:rPr>
        <w:t xml:space="preserve">, I.A. &amp; </w:t>
      </w:r>
      <w:proofErr w:type="spellStart"/>
      <w:r w:rsidRPr="006C520E">
        <w:rPr>
          <w:szCs w:val="24"/>
        </w:rPr>
        <w:t>Nwabueze</w:t>
      </w:r>
      <w:proofErr w:type="spellEnd"/>
      <w:r w:rsidRPr="006C520E">
        <w:rPr>
          <w:szCs w:val="24"/>
        </w:rPr>
        <w:t xml:space="preserve">, C.C. (2018). Tax reforms and Nigeria’s economic stability. </w:t>
      </w:r>
      <w:r w:rsidRPr="006C520E">
        <w:rPr>
          <w:i/>
          <w:iCs/>
          <w:szCs w:val="24"/>
        </w:rPr>
        <w:t>International Journal of Applied Economics, Finance and Accounting</w:t>
      </w:r>
      <w:r w:rsidRPr="006C520E">
        <w:rPr>
          <w:szCs w:val="24"/>
        </w:rPr>
        <w:t xml:space="preserve">, </w:t>
      </w:r>
      <w:r w:rsidRPr="006C520E">
        <w:rPr>
          <w:i/>
          <w:iCs/>
          <w:szCs w:val="24"/>
        </w:rPr>
        <w:t>3</w:t>
      </w:r>
      <w:r w:rsidRPr="006C520E">
        <w:rPr>
          <w:szCs w:val="24"/>
        </w:rPr>
        <w:t>(2), 74-87</w:t>
      </w:r>
      <w:r>
        <w:rPr>
          <w:szCs w:val="24"/>
        </w:rPr>
        <w:t>. https://doi.org</w:t>
      </w:r>
      <w:r w:rsidRPr="006C520E">
        <w:rPr>
          <w:szCs w:val="24"/>
        </w:rPr>
        <w:t xml:space="preserve">/10.33094/8.2017.2018.32.74.87 </w:t>
      </w:r>
    </w:p>
    <w:p w14:paraId="4CAD8EE7" w14:textId="4553D004" w:rsidR="00517292" w:rsidRPr="006C520E" w:rsidRDefault="00517292" w:rsidP="00E45B7C">
      <w:pPr>
        <w:spacing w:after="0"/>
        <w:ind w:left="720" w:hanging="720"/>
        <w:rPr>
          <w:szCs w:val="24"/>
        </w:rPr>
      </w:pPr>
      <w:proofErr w:type="spellStart"/>
      <w:r w:rsidRPr="006C520E">
        <w:rPr>
          <w:szCs w:val="24"/>
        </w:rPr>
        <w:t>Inuwa</w:t>
      </w:r>
      <w:proofErr w:type="spellEnd"/>
      <w:r w:rsidRPr="006C520E">
        <w:rPr>
          <w:szCs w:val="24"/>
        </w:rPr>
        <w:t xml:space="preserve">, N., Adamu, S., Sani, M.B. &amp; </w:t>
      </w:r>
      <w:proofErr w:type="spellStart"/>
      <w:r w:rsidRPr="006C520E">
        <w:rPr>
          <w:szCs w:val="24"/>
        </w:rPr>
        <w:t>Modibbo</w:t>
      </w:r>
      <w:proofErr w:type="spellEnd"/>
      <w:r w:rsidRPr="006C520E">
        <w:rPr>
          <w:szCs w:val="24"/>
        </w:rPr>
        <w:t xml:space="preserve">, H.U. (2022). Natural resource and economic growth nexus in Nigeria: a disaggregated approach”, </w:t>
      </w:r>
      <w:r w:rsidRPr="006C520E">
        <w:rPr>
          <w:i/>
          <w:iCs/>
          <w:szCs w:val="24"/>
        </w:rPr>
        <w:t>Letters in Spatial and Resource Sciences</w:t>
      </w:r>
      <w:r w:rsidRPr="006C520E">
        <w:rPr>
          <w:szCs w:val="24"/>
        </w:rPr>
        <w:t>, 15(1), 17-37</w:t>
      </w:r>
      <w:r>
        <w:rPr>
          <w:szCs w:val="24"/>
        </w:rPr>
        <w:t>. https://doi.org</w:t>
      </w:r>
      <w:r w:rsidRPr="006C520E">
        <w:rPr>
          <w:szCs w:val="24"/>
        </w:rPr>
        <w:t xml:space="preserve">/10.1007/s12076-021-00291-4. </w:t>
      </w:r>
    </w:p>
    <w:p w14:paraId="39500272" w14:textId="77777777" w:rsidR="00517292" w:rsidRPr="006C520E" w:rsidRDefault="00517292" w:rsidP="007A6A82">
      <w:pPr>
        <w:spacing w:after="0"/>
        <w:ind w:left="720" w:hanging="720"/>
        <w:rPr>
          <w:szCs w:val="24"/>
        </w:rPr>
      </w:pPr>
      <w:r w:rsidRPr="006C520E">
        <w:rPr>
          <w:szCs w:val="24"/>
          <w:highlight w:val="yellow"/>
        </w:rPr>
        <w:t xml:space="preserve">Ishak, P. W., &amp; </w:t>
      </w:r>
      <w:proofErr w:type="spellStart"/>
      <w:r w:rsidRPr="006C520E">
        <w:rPr>
          <w:szCs w:val="24"/>
          <w:highlight w:val="yellow"/>
        </w:rPr>
        <w:t>Farzanegan</w:t>
      </w:r>
      <w:proofErr w:type="spellEnd"/>
      <w:r w:rsidRPr="006C520E">
        <w:rPr>
          <w:szCs w:val="24"/>
          <w:highlight w:val="yellow"/>
        </w:rPr>
        <w:t xml:space="preserve">, M. R. (2022). Oil price shocks, protest, and the shadow economy: Is there a mitigation effect? </w:t>
      </w:r>
      <w:r w:rsidRPr="006C520E">
        <w:rPr>
          <w:i/>
          <w:iCs/>
          <w:szCs w:val="24"/>
          <w:highlight w:val="yellow"/>
        </w:rPr>
        <w:t>Economics &amp; Politics</w:t>
      </w:r>
      <w:r w:rsidRPr="006C520E">
        <w:rPr>
          <w:szCs w:val="24"/>
          <w:highlight w:val="yellow"/>
        </w:rPr>
        <w:t xml:space="preserve">, </w:t>
      </w:r>
      <w:r w:rsidRPr="006C520E">
        <w:rPr>
          <w:i/>
          <w:iCs/>
          <w:szCs w:val="24"/>
          <w:highlight w:val="yellow"/>
        </w:rPr>
        <w:t>34</w:t>
      </w:r>
      <w:r w:rsidRPr="006C520E">
        <w:rPr>
          <w:szCs w:val="24"/>
          <w:highlight w:val="yellow"/>
        </w:rPr>
        <w:t>(2), 298-321.</w:t>
      </w:r>
    </w:p>
    <w:p w14:paraId="4D7A90AD" w14:textId="3C84B0D3" w:rsidR="00517292" w:rsidRPr="006C520E" w:rsidRDefault="00517292" w:rsidP="00E45B7C">
      <w:pPr>
        <w:spacing w:after="0"/>
        <w:ind w:left="720" w:hanging="720"/>
        <w:rPr>
          <w:szCs w:val="24"/>
        </w:rPr>
      </w:pPr>
      <w:r w:rsidRPr="006C520E">
        <w:rPr>
          <w:szCs w:val="24"/>
        </w:rPr>
        <w:t xml:space="preserve">Ishak, P.W. &amp; </w:t>
      </w:r>
      <w:proofErr w:type="spellStart"/>
      <w:r w:rsidRPr="006C520E">
        <w:rPr>
          <w:szCs w:val="24"/>
        </w:rPr>
        <w:t>Farzanegan</w:t>
      </w:r>
      <w:proofErr w:type="spellEnd"/>
      <w:r w:rsidRPr="006C520E">
        <w:rPr>
          <w:szCs w:val="24"/>
        </w:rPr>
        <w:t xml:space="preserve">, M.R. (2020). The impact of declining oil rents on tax revenues: Does the shadow economy matter? </w:t>
      </w:r>
      <w:r w:rsidRPr="006C520E">
        <w:rPr>
          <w:i/>
          <w:iCs/>
          <w:szCs w:val="24"/>
        </w:rPr>
        <w:t>Energy Economics</w:t>
      </w:r>
      <w:r w:rsidRPr="006C520E">
        <w:rPr>
          <w:szCs w:val="24"/>
        </w:rPr>
        <w:t>, 92, 104925</w:t>
      </w:r>
      <w:r>
        <w:rPr>
          <w:szCs w:val="24"/>
        </w:rPr>
        <w:t xml:space="preserve">. </w:t>
      </w:r>
      <w:r w:rsidRPr="006C520E">
        <w:rPr>
          <w:szCs w:val="24"/>
        </w:rPr>
        <w:t>https://doi.org/10.1016/j.eneco.2020.104925</w:t>
      </w:r>
    </w:p>
    <w:p w14:paraId="720D1EB4" w14:textId="77777777" w:rsidR="00517292" w:rsidRPr="006C520E" w:rsidRDefault="00517292" w:rsidP="005E5930">
      <w:pPr>
        <w:spacing w:after="0"/>
        <w:ind w:left="720" w:hanging="720"/>
        <w:rPr>
          <w:szCs w:val="24"/>
          <w:highlight w:val="yellow"/>
        </w:rPr>
      </w:pPr>
      <w:proofErr w:type="spellStart"/>
      <w:r w:rsidRPr="006C520E">
        <w:rPr>
          <w:rFonts w:cs="Times New Roman"/>
          <w:szCs w:val="24"/>
          <w:highlight w:val="yellow"/>
        </w:rPr>
        <w:t>Leite</w:t>
      </w:r>
      <w:proofErr w:type="spellEnd"/>
      <w:r w:rsidRPr="006C520E">
        <w:rPr>
          <w:rFonts w:cs="Times New Roman"/>
          <w:szCs w:val="24"/>
          <w:highlight w:val="yellow"/>
        </w:rPr>
        <w:t xml:space="preserve">, C. &amp; </w:t>
      </w:r>
      <w:proofErr w:type="spellStart"/>
      <w:r w:rsidRPr="006C520E">
        <w:rPr>
          <w:rFonts w:cs="Times New Roman"/>
          <w:szCs w:val="24"/>
          <w:highlight w:val="yellow"/>
        </w:rPr>
        <w:t>Weidmann</w:t>
      </w:r>
      <w:proofErr w:type="spellEnd"/>
      <w:r w:rsidRPr="006C520E">
        <w:rPr>
          <w:rFonts w:cs="Times New Roman"/>
          <w:szCs w:val="24"/>
          <w:highlight w:val="yellow"/>
        </w:rPr>
        <w:t>, J. (1999). Does mother nature corrupt? Natural resources, corruption, and economic growth. IMF Working Paper (99/85). https://doi.org/10.5089/9781451850734.001</w:t>
      </w:r>
    </w:p>
    <w:p w14:paraId="7C5FC1C5" w14:textId="7C2BE767" w:rsidR="00517292" w:rsidRPr="006C520E" w:rsidRDefault="00517292" w:rsidP="00E45B7C">
      <w:pPr>
        <w:spacing w:after="0"/>
        <w:ind w:left="720" w:hanging="720"/>
        <w:rPr>
          <w:szCs w:val="24"/>
        </w:rPr>
      </w:pPr>
      <w:r w:rsidRPr="006C520E">
        <w:rPr>
          <w:szCs w:val="24"/>
        </w:rPr>
        <w:lastRenderedPageBreak/>
        <w:t xml:space="preserve">Mazhar, U. &amp; </w:t>
      </w:r>
      <w:proofErr w:type="spellStart"/>
      <w:r w:rsidRPr="006C520E">
        <w:rPr>
          <w:szCs w:val="24"/>
        </w:rPr>
        <w:t>Méon</w:t>
      </w:r>
      <w:proofErr w:type="spellEnd"/>
      <w:r w:rsidRPr="006C520E">
        <w:rPr>
          <w:szCs w:val="24"/>
        </w:rPr>
        <w:t xml:space="preserve">, P.G. (2017). Taxing the unobservable: the impact of the shadow economy on inflation and taxation. </w:t>
      </w:r>
      <w:r w:rsidRPr="006C520E">
        <w:rPr>
          <w:i/>
          <w:iCs/>
          <w:szCs w:val="24"/>
        </w:rPr>
        <w:t>World Development</w:t>
      </w:r>
      <w:r w:rsidRPr="006C520E">
        <w:rPr>
          <w:szCs w:val="24"/>
        </w:rPr>
        <w:t xml:space="preserve">, </w:t>
      </w:r>
      <w:r w:rsidRPr="006C520E">
        <w:rPr>
          <w:i/>
          <w:iCs/>
          <w:szCs w:val="24"/>
        </w:rPr>
        <w:t>90</w:t>
      </w:r>
      <w:r w:rsidRPr="006C520E">
        <w:rPr>
          <w:szCs w:val="24"/>
        </w:rPr>
        <w:t>, 89-103</w:t>
      </w:r>
      <w:r>
        <w:rPr>
          <w:szCs w:val="24"/>
        </w:rPr>
        <w:t>.</w:t>
      </w:r>
      <w:r w:rsidRPr="006C520E">
        <w:rPr>
          <w:szCs w:val="24"/>
        </w:rPr>
        <w:t xml:space="preserve"> </w:t>
      </w:r>
      <w:r>
        <w:rPr>
          <w:szCs w:val="24"/>
        </w:rPr>
        <w:t>https://doi.org/</w:t>
      </w:r>
      <w:r w:rsidRPr="006C520E">
        <w:rPr>
          <w:szCs w:val="24"/>
        </w:rPr>
        <w:t xml:space="preserve"> 10.1016/j.worlddev.2016.08.019 </w:t>
      </w:r>
    </w:p>
    <w:p w14:paraId="00998F71" w14:textId="217877C8" w:rsidR="00517292" w:rsidRPr="006C520E" w:rsidRDefault="00517292" w:rsidP="00E45B7C">
      <w:pPr>
        <w:spacing w:after="0"/>
        <w:ind w:left="720" w:hanging="720"/>
        <w:rPr>
          <w:szCs w:val="24"/>
        </w:rPr>
      </w:pPr>
      <w:r w:rsidRPr="006C520E">
        <w:rPr>
          <w:szCs w:val="24"/>
        </w:rPr>
        <w:t xml:space="preserve">McGuirk, E.F. (2013). The illusory leader: natural resources, taxation and accountability. </w:t>
      </w:r>
      <w:r w:rsidRPr="006C520E">
        <w:rPr>
          <w:i/>
          <w:iCs/>
          <w:szCs w:val="24"/>
        </w:rPr>
        <w:t>Public Choice</w:t>
      </w:r>
      <w:r w:rsidRPr="006C520E">
        <w:rPr>
          <w:szCs w:val="24"/>
        </w:rPr>
        <w:t>, 154 (3-4)</w:t>
      </w:r>
      <w:r>
        <w:rPr>
          <w:szCs w:val="24"/>
        </w:rPr>
        <w:t>.</w:t>
      </w:r>
      <w:r w:rsidRPr="006C520E">
        <w:rPr>
          <w:szCs w:val="24"/>
        </w:rPr>
        <w:t xml:space="preserve"> 285-313, doi:10.1007/s11127-011-9820-0</w:t>
      </w:r>
    </w:p>
    <w:p w14:paraId="1E2092AE" w14:textId="72A72DEA" w:rsidR="00517292" w:rsidRPr="006C520E" w:rsidRDefault="00517292" w:rsidP="00E45B7C">
      <w:pPr>
        <w:spacing w:after="0"/>
        <w:ind w:left="720" w:hanging="720"/>
        <w:rPr>
          <w:szCs w:val="24"/>
        </w:rPr>
      </w:pPr>
      <w:r w:rsidRPr="006C520E">
        <w:rPr>
          <w:szCs w:val="24"/>
        </w:rPr>
        <w:t xml:space="preserve">McNown, R., Sam, C.Y. &amp; Goh, S.K. (2017). Bootstrapping the autoregressive distributed lag test for cointegration. </w:t>
      </w:r>
      <w:r w:rsidRPr="006C520E">
        <w:rPr>
          <w:i/>
          <w:iCs/>
          <w:szCs w:val="24"/>
        </w:rPr>
        <w:t>Applied Economics</w:t>
      </w:r>
      <w:r w:rsidRPr="006C520E">
        <w:rPr>
          <w:szCs w:val="24"/>
        </w:rPr>
        <w:t>, 50(13), 1509-1521</w:t>
      </w:r>
      <w:r>
        <w:rPr>
          <w:szCs w:val="24"/>
        </w:rPr>
        <w:t xml:space="preserve">. </w:t>
      </w:r>
      <w:r w:rsidRPr="006C520E">
        <w:rPr>
          <w:szCs w:val="24"/>
        </w:rPr>
        <w:t xml:space="preserve">https://doi.org/10.1080/00036846.2017.1366643 M </w:t>
      </w:r>
    </w:p>
    <w:p w14:paraId="62A7F2A1" w14:textId="77777777" w:rsidR="00517292" w:rsidRPr="006C520E" w:rsidRDefault="00517292" w:rsidP="005E5930">
      <w:pPr>
        <w:spacing w:after="0"/>
        <w:ind w:left="720" w:hanging="720"/>
        <w:rPr>
          <w:szCs w:val="24"/>
          <w:highlight w:val="yellow"/>
        </w:rPr>
      </w:pPr>
      <w:proofErr w:type="spellStart"/>
      <w:r w:rsidRPr="006C520E">
        <w:rPr>
          <w:rFonts w:cs="Times New Roman"/>
          <w:szCs w:val="24"/>
          <w:highlight w:val="yellow"/>
        </w:rPr>
        <w:t>Mehlum</w:t>
      </w:r>
      <w:proofErr w:type="spellEnd"/>
      <w:r w:rsidRPr="006C520E">
        <w:rPr>
          <w:rFonts w:cs="Times New Roman"/>
          <w:szCs w:val="24"/>
          <w:highlight w:val="yellow"/>
        </w:rPr>
        <w:t xml:space="preserve">, H., </w:t>
      </w:r>
      <w:proofErr w:type="spellStart"/>
      <w:r w:rsidRPr="006C520E">
        <w:rPr>
          <w:rFonts w:cs="Times New Roman"/>
          <w:szCs w:val="24"/>
          <w:highlight w:val="yellow"/>
        </w:rPr>
        <w:t>Moene</w:t>
      </w:r>
      <w:proofErr w:type="spellEnd"/>
      <w:r w:rsidRPr="006C520E">
        <w:rPr>
          <w:rFonts w:cs="Times New Roman"/>
          <w:szCs w:val="24"/>
          <w:highlight w:val="yellow"/>
        </w:rPr>
        <w:t xml:space="preserve">, K., &amp; </w:t>
      </w:r>
      <w:proofErr w:type="spellStart"/>
      <w:r w:rsidRPr="006C520E">
        <w:rPr>
          <w:rFonts w:cs="Times New Roman"/>
          <w:szCs w:val="24"/>
          <w:highlight w:val="yellow"/>
        </w:rPr>
        <w:t>Torvik</w:t>
      </w:r>
      <w:proofErr w:type="spellEnd"/>
      <w:r w:rsidRPr="006C520E">
        <w:rPr>
          <w:rFonts w:cs="Times New Roman"/>
          <w:szCs w:val="24"/>
          <w:highlight w:val="yellow"/>
        </w:rPr>
        <w:t>, R. (2006). Institutions and the resource curse. The economic journal, 116(508), 1-20. https://doi.org/10.1111/j.1468-0297.2006.01045.x</w:t>
      </w:r>
    </w:p>
    <w:p w14:paraId="6013F286" w14:textId="13759E76" w:rsidR="00517292" w:rsidRPr="006C520E" w:rsidRDefault="00517292" w:rsidP="00E45B7C">
      <w:pPr>
        <w:spacing w:after="0"/>
        <w:ind w:left="720" w:hanging="720"/>
        <w:rPr>
          <w:szCs w:val="24"/>
        </w:rPr>
      </w:pPr>
      <w:r w:rsidRPr="006C520E">
        <w:rPr>
          <w:szCs w:val="24"/>
        </w:rPr>
        <w:t xml:space="preserve">Nguyen, D.V. &amp; Duong, M.T.H. (2021). Shadow economy, corruption and economic growth: an analysis of BRICS countries. </w:t>
      </w:r>
      <w:r w:rsidRPr="006C520E">
        <w:rPr>
          <w:i/>
          <w:iCs/>
          <w:szCs w:val="24"/>
        </w:rPr>
        <w:t>The Journal of Asian Finance, Economics and Business</w:t>
      </w:r>
      <w:r w:rsidRPr="006C520E">
        <w:rPr>
          <w:szCs w:val="24"/>
        </w:rPr>
        <w:t>, 8(4), 665-672</w:t>
      </w:r>
      <w:r>
        <w:rPr>
          <w:szCs w:val="24"/>
        </w:rPr>
        <w:t xml:space="preserve">. </w:t>
      </w:r>
      <w:r w:rsidRPr="00517292">
        <w:rPr>
          <w:szCs w:val="24"/>
        </w:rPr>
        <w:t>https://doi.org/10.13106/jafeb.2021.vol8.no4.0665</w:t>
      </w:r>
    </w:p>
    <w:p w14:paraId="784BF3B7" w14:textId="77777777" w:rsidR="00517292" w:rsidRPr="006C520E" w:rsidRDefault="00517292" w:rsidP="00E45B7C">
      <w:pPr>
        <w:spacing w:after="0"/>
        <w:ind w:left="720" w:hanging="720"/>
        <w:rPr>
          <w:szCs w:val="24"/>
        </w:rPr>
      </w:pPr>
      <w:r w:rsidRPr="006C520E">
        <w:rPr>
          <w:szCs w:val="24"/>
        </w:rPr>
        <w:t xml:space="preserve">Nguyen, M.L.T., Bui, T.N., Thai, T.D., Nguyen, T.T., &amp; Nguyen, H.T. (2022). Shadow economy, corruption, and economic growth: A Bayesian analysis. In </w:t>
      </w:r>
      <w:r w:rsidRPr="006C520E">
        <w:rPr>
          <w:i/>
          <w:iCs/>
          <w:szCs w:val="24"/>
        </w:rPr>
        <w:t>International Econometric Conference of Vietnam</w:t>
      </w:r>
      <w:r w:rsidRPr="006C520E">
        <w:rPr>
          <w:szCs w:val="24"/>
        </w:rPr>
        <w:t xml:space="preserve">, Springer International Publishing, Cham, 747-762. https://doi.org/10.1007/978-3-030-98689-6_49 </w:t>
      </w:r>
    </w:p>
    <w:p w14:paraId="14D1A90C" w14:textId="77777777" w:rsidR="00517292" w:rsidRPr="006C520E" w:rsidRDefault="00517292" w:rsidP="000536F2">
      <w:pPr>
        <w:spacing w:after="0"/>
        <w:ind w:left="720" w:hanging="720"/>
      </w:pPr>
      <w:r w:rsidRPr="006C520E">
        <w:t xml:space="preserve">Nguyen, T.A.N. &amp; Luong, T.T.H. (2020). Corruption, shadow economy and economic growth: evidence from emerging and developing Asian economies. </w:t>
      </w:r>
      <w:r w:rsidRPr="006C520E">
        <w:rPr>
          <w:i/>
          <w:iCs/>
        </w:rPr>
        <w:t>Montenegrin Journal of Economics</w:t>
      </w:r>
      <w:r w:rsidRPr="006C520E">
        <w:t xml:space="preserve">, </w:t>
      </w:r>
      <w:r w:rsidRPr="006C520E">
        <w:rPr>
          <w:i/>
          <w:iCs/>
        </w:rPr>
        <w:t>16</w:t>
      </w:r>
      <w:r w:rsidRPr="006C520E">
        <w:t>(4), 85-94. https://doi.org/10.14254/1800-5845/2020.16-4.7</w:t>
      </w:r>
    </w:p>
    <w:p w14:paraId="4A4EE4AF" w14:textId="10A6A452" w:rsidR="00517292" w:rsidRPr="006C520E" w:rsidRDefault="00517292" w:rsidP="00E45B7C">
      <w:pPr>
        <w:spacing w:after="0"/>
        <w:ind w:left="720" w:hanging="720"/>
        <w:rPr>
          <w:szCs w:val="24"/>
        </w:rPr>
      </w:pPr>
      <w:r w:rsidRPr="006C520E">
        <w:rPr>
          <w:szCs w:val="24"/>
        </w:rPr>
        <w:t xml:space="preserve">Ofori, P.E. &amp; </w:t>
      </w:r>
      <w:proofErr w:type="spellStart"/>
      <w:r w:rsidRPr="006C520E">
        <w:rPr>
          <w:szCs w:val="24"/>
        </w:rPr>
        <w:t>Grechyna</w:t>
      </w:r>
      <w:proofErr w:type="spellEnd"/>
      <w:r w:rsidRPr="006C520E">
        <w:rPr>
          <w:szCs w:val="24"/>
        </w:rPr>
        <w:t xml:space="preserve">, D. (2021). Remittances, natural resource rent and economic growth in Sub-Saharan Africa. </w:t>
      </w:r>
      <w:r w:rsidRPr="006C520E">
        <w:rPr>
          <w:i/>
          <w:iCs/>
          <w:szCs w:val="24"/>
        </w:rPr>
        <w:t>Cogent Economics and Finance</w:t>
      </w:r>
      <w:r w:rsidRPr="006C520E">
        <w:rPr>
          <w:szCs w:val="24"/>
        </w:rPr>
        <w:t>, 9(1), p. 1979305</w:t>
      </w:r>
      <w:r>
        <w:rPr>
          <w:szCs w:val="24"/>
        </w:rPr>
        <w:t>.</w:t>
      </w:r>
      <w:r w:rsidRPr="006C520E">
        <w:rPr>
          <w:szCs w:val="24"/>
        </w:rPr>
        <w:t xml:space="preserve"> https://doi.org/10.1080/ 23322039.2021.1979305. </w:t>
      </w:r>
    </w:p>
    <w:p w14:paraId="4FA7F7AC" w14:textId="6E0EFEBC" w:rsidR="00517292" w:rsidRPr="006C520E" w:rsidRDefault="00517292" w:rsidP="00E45B7C">
      <w:pPr>
        <w:spacing w:after="0"/>
        <w:ind w:left="720" w:hanging="720"/>
        <w:rPr>
          <w:szCs w:val="24"/>
        </w:rPr>
      </w:pPr>
      <w:proofErr w:type="spellStart"/>
      <w:r w:rsidRPr="006C520E">
        <w:rPr>
          <w:szCs w:val="24"/>
        </w:rPr>
        <w:t>Olayungbo</w:t>
      </w:r>
      <w:proofErr w:type="spellEnd"/>
      <w:r w:rsidRPr="006C520E">
        <w:rPr>
          <w:szCs w:val="24"/>
        </w:rPr>
        <w:t xml:space="preserve">, D.O. &amp; </w:t>
      </w:r>
      <w:proofErr w:type="spellStart"/>
      <w:r w:rsidRPr="006C520E">
        <w:rPr>
          <w:szCs w:val="24"/>
        </w:rPr>
        <w:t>Adediran</w:t>
      </w:r>
      <w:proofErr w:type="spellEnd"/>
      <w:r w:rsidRPr="006C520E">
        <w:rPr>
          <w:szCs w:val="24"/>
        </w:rPr>
        <w:t xml:space="preserve">, K.A. (2017). Effects of oil revenue and institutional quality on economic growth with an ARDL approach”, </w:t>
      </w:r>
      <w:r w:rsidRPr="006C520E">
        <w:rPr>
          <w:i/>
          <w:iCs/>
          <w:szCs w:val="24"/>
        </w:rPr>
        <w:t>Energy and Policy Research</w:t>
      </w:r>
      <w:r w:rsidRPr="006C520E">
        <w:rPr>
          <w:szCs w:val="24"/>
        </w:rPr>
        <w:t xml:space="preserve">, </w:t>
      </w:r>
      <w:r w:rsidRPr="006C520E">
        <w:rPr>
          <w:i/>
          <w:iCs/>
          <w:szCs w:val="24"/>
        </w:rPr>
        <w:t>4</w:t>
      </w:r>
      <w:r w:rsidRPr="006C520E">
        <w:rPr>
          <w:szCs w:val="24"/>
        </w:rPr>
        <w:t>(1), 44-54</w:t>
      </w:r>
      <w:r>
        <w:rPr>
          <w:szCs w:val="24"/>
        </w:rPr>
        <w:t>.</w:t>
      </w:r>
      <w:r w:rsidRPr="006C520E">
        <w:rPr>
          <w:szCs w:val="24"/>
        </w:rPr>
        <w:t xml:space="preserve"> https://doi.org/10.1080/23815639.2017.1307146.</w:t>
      </w:r>
    </w:p>
    <w:p w14:paraId="79D5631D" w14:textId="77777777" w:rsidR="00517292" w:rsidRPr="006C520E" w:rsidRDefault="00517292" w:rsidP="00E45B7C">
      <w:pPr>
        <w:spacing w:after="0"/>
        <w:ind w:left="720" w:hanging="720"/>
        <w:rPr>
          <w:szCs w:val="24"/>
        </w:rPr>
      </w:pPr>
      <w:proofErr w:type="spellStart"/>
      <w:r w:rsidRPr="006C520E">
        <w:rPr>
          <w:szCs w:val="24"/>
        </w:rPr>
        <w:t>Papyrakis</w:t>
      </w:r>
      <w:proofErr w:type="spellEnd"/>
      <w:r w:rsidRPr="006C520E">
        <w:rPr>
          <w:szCs w:val="24"/>
        </w:rPr>
        <w:t xml:space="preserve">, E. &amp; </w:t>
      </w:r>
      <w:proofErr w:type="spellStart"/>
      <w:r w:rsidRPr="006C520E">
        <w:rPr>
          <w:szCs w:val="24"/>
        </w:rPr>
        <w:t>Gerlagh</w:t>
      </w:r>
      <w:proofErr w:type="spellEnd"/>
      <w:r w:rsidRPr="006C520E">
        <w:rPr>
          <w:szCs w:val="24"/>
        </w:rPr>
        <w:t xml:space="preserve">, R. (2004). The Resource Curse Hypothesis and Its Transmission Channels. </w:t>
      </w:r>
      <w:r w:rsidRPr="006C520E">
        <w:rPr>
          <w:i/>
          <w:iCs/>
          <w:szCs w:val="24"/>
        </w:rPr>
        <w:t>Journal of Comparative Economics</w:t>
      </w:r>
      <w:r w:rsidRPr="006C520E">
        <w:rPr>
          <w:szCs w:val="24"/>
        </w:rPr>
        <w:t xml:space="preserve">, </w:t>
      </w:r>
      <w:r w:rsidRPr="006C520E">
        <w:rPr>
          <w:i/>
          <w:iCs/>
          <w:szCs w:val="24"/>
        </w:rPr>
        <w:t>32</w:t>
      </w:r>
      <w:r w:rsidRPr="006C520E">
        <w:rPr>
          <w:szCs w:val="24"/>
        </w:rPr>
        <w:t>(1), 181-193. https://doi.org/10.1016/j.jce.2003.11.002.</w:t>
      </w:r>
    </w:p>
    <w:p w14:paraId="0A484361" w14:textId="77777777" w:rsidR="00517292" w:rsidRPr="006C520E" w:rsidRDefault="00517292" w:rsidP="00E45B7C">
      <w:pPr>
        <w:spacing w:after="0"/>
        <w:ind w:left="720" w:hanging="720"/>
        <w:rPr>
          <w:szCs w:val="24"/>
        </w:rPr>
      </w:pPr>
      <w:proofErr w:type="spellStart"/>
      <w:r w:rsidRPr="006C520E">
        <w:rPr>
          <w:szCs w:val="24"/>
        </w:rPr>
        <w:t>Pesaran</w:t>
      </w:r>
      <w:proofErr w:type="spellEnd"/>
      <w:r w:rsidRPr="006C520E">
        <w:rPr>
          <w:szCs w:val="24"/>
        </w:rPr>
        <w:t xml:space="preserve">, M.H., Shin, Y. &amp; Smith, R.J. (2001). Bounds testing approaches to the analysis of level relationships. </w:t>
      </w:r>
      <w:r w:rsidRPr="006C520E">
        <w:rPr>
          <w:i/>
          <w:iCs/>
          <w:szCs w:val="24"/>
        </w:rPr>
        <w:t>Journal of Applied Econometrics</w:t>
      </w:r>
      <w:r w:rsidRPr="006C520E">
        <w:rPr>
          <w:szCs w:val="24"/>
        </w:rPr>
        <w:t xml:space="preserve">, </w:t>
      </w:r>
      <w:r w:rsidRPr="006C520E">
        <w:rPr>
          <w:i/>
          <w:iCs/>
          <w:szCs w:val="24"/>
        </w:rPr>
        <w:t>16</w:t>
      </w:r>
      <w:r w:rsidRPr="006C520E">
        <w:rPr>
          <w:szCs w:val="24"/>
        </w:rPr>
        <w:t xml:space="preserve">(3), 289-326. https://doi.org/10.1002/jae.616 </w:t>
      </w:r>
    </w:p>
    <w:p w14:paraId="114D8CD3" w14:textId="4E262236" w:rsidR="00517292" w:rsidRPr="006C520E" w:rsidRDefault="00517292" w:rsidP="00E45B7C">
      <w:pPr>
        <w:spacing w:after="0"/>
        <w:ind w:left="720" w:hanging="720"/>
        <w:rPr>
          <w:szCs w:val="24"/>
        </w:rPr>
      </w:pPr>
      <w:r w:rsidRPr="006C520E">
        <w:rPr>
          <w:szCs w:val="24"/>
        </w:rPr>
        <w:t xml:space="preserve">Ross, M.L. (2001). Does oil hinder democracy? </w:t>
      </w:r>
      <w:r w:rsidRPr="006C520E">
        <w:rPr>
          <w:i/>
          <w:iCs/>
          <w:szCs w:val="24"/>
        </w:rPr>
        <w:t>World Politics</w:t>
      </w:r>
      <w:r w:rsidRPr="006C520E">
        <w:rPr>
          <w:szCs w:val="24"/>
        </w:rPr>
        <w:t xml:space="preserve">, </w:t>
      </w:r>
      <w:r w:rsidRPr="006C520E">
        <w:rPr>
          <w:i/>
          <w:iCs/>
          <w:szCs w:val="24"/>
        </w:rPr>
        <w:t>53</w:t>
      </w:r>
      <w:r w:rsidRPr="006C520E">
        <w:rPr>
          <w:szCs w:val="24"/>
        </w:rPr>
        <w:t>(3), 325-361</w:t>
      </w:r>
      <w:r>
        <w:rPr>
          <w:szCs w:val="24"/>
        </w:rPr>
        <w:t>.</w:t>
      </w:r>
      <w:r w:rsidRPr="006C520E">
        <w:rPr>
          <w:szCs w:val="24"/>
        </w:rPr>
        <w:t xml:space="preserve"> </w:t>
      </w:r>
      <w:r w:rsidRPr="00517292">
        <w:rPr>
          <w:szCs w:val="24"/>
        </w:rPr>
        <w:t>https://doi.org/10.1353/wp.2001.0011</w:t>
      </w:r>
    </w:p>
    <w:p w14:paraId="6720310C" w14:textId="77777777" w:rsidR="00517292" w:rsidRPr="006C520E" w:rsidRDefault="00517292" w:rsidP="00E45B7C">
      <w:pPr>
        <w:spacing w:after="0"/>
        <w:ind w:left="720" w:hanging="720"/>
        <w:rPr>
          <w:szCs w:val="24"/>
        </w:rPr>
      </w:pPr>
      <w:r w:rsidRPr="006C520E">
        <w:rPr>
          <w:szCs w:val="24"/>
        </w:rPr>
        <w:t xml:space="preserve">Rotimi, M.E., </w:t>
      </w:r>
      <w:proofErr w:type="spellStart"/>
      <w:r w:rsidRPr="006C520E">
        <w:rPr>
          <w:szCs w:val="24"/>
        </w:rPr>
        <w:t>IseOlorunkanmi</w:t>
      </w:r>
      <w:proofErr w:type="spellEnd"/>
      <w:r w:rsidRPr="006C520E">
        <w:rPr>
          <w:szCs w:val="24"/>
        </w:rPr>
        <w:t xml:space="preserve">, O.J., Rotimi, G.G. &amp; </w:t>
      </w:r>
      <w:proofErr w:type="spellStart"/>
      <w:r w:rsidRPr="006C520E">
        <w:rPr>
          <w:szCs w:val="24"/>
        </w:rPr>
        <w:t>Doorsamy</w:t>
      </w:r>
      <w:proofErr w:type="spellEnd"/>
      <w:r w:rsidRPr="006C520E">
        <w:rPr>
          <w:szCs w:val="24"/>
        </w:rPr>
        <w:t xml:space="preserve">, M. (2021). Re-examining corruption and economic growth in oil dependent economy: Nigeria’s case. </w:t>
      </w:r>
      <w:r w:rsidRPr="006C520E">
        <w:rPr>
          <w:i/>
          <w:iCs/>
          <w:szCs w:val="24"/>
        </w:rPr>
        <w:t>Journal of Money Laundering Control</w:t>
      </w:r>
      <w:r w:rsidRPr="006C520E">
        <w:rPr>
          <w:szCs w:val="24"/>
        </w:rPr>
        <w:t xml:space="preserve">, </w:t>
      </w:r>
      <w:r w:rsidRPr="006C520E">
        <w:rPr>
          <w:i/>
          <w:iCs/>
          <w:szCs w:val="24"/>
        </w:rPr>
        <w:t>25</w:t>
      </w:r>
      <w:r w:rsidRPr="006C520E">
        <w:rPr>
          <w:szCs w:val="24"/>
        </w:rPr>
        <w:t>(3), 526-539. https://doi.org/10.1108/JMLC-06-2021-0057</w:t>
      </w:r>
    </w:p>
    <w:p w14:paraId="5906949D" w14:textId="77777777" w:rsidR="00517292" w:rsidRPr="006C520E" w:rsidRDefault="00517292" w:rsidP="005E5930">
      <w:pPr>
        <w:spacing w:after="0"/>
        <w:ind w:left="720" w:hanging="720"/>
        <w:rPr>
          <w:szCs w:val="24"/>
        </w:rPr>
      </w:pPr>
      <w:r w:rsidRPr="006C520E">
        <w:rPr>
          <w:szCs w:val="24"/>
        </w:rPr>
        <w:t xml:space="preserve">Sachs, J.D. &amp; Warner, A.M. (1995). Natural resource abundance and economic growth. </w:t>
      </w:r>
      <w:r w:rsidRPr="006C520E">
        <w:rPr>
          <w:i/>
          <w:iCs/>
          <w:szCs w:val="24"/>
        </w:rPr>
        <w:t>NBER Working Paper</w:t>
      </w:r>
      <w:r w:rsidRPr="006C520E">
        <w:rPr>
          <w:szCs w:val="24"/>
        </w:rPr>
        <w:t>, 5398. https://doi.org/10.3386/w5398</w:t>
      </w:r>
    </w:p>
    <w:p w14:paraId="6C804384" w14:textId="08B4E4A3" w:rsidR="00517292" w:rsidRPr="006C520E" w:rsidRDefault="00517292" w:rsidP="00E45B7C">
      <w:pPr>
        <w:spacing w:after="0"/>
        <w:ind w:left="720" w:hanging="720"/>
        <w:rPr>
          <w:szCs w:val="24"/>
        </w:rPr>
      </w:pPr>
      <w:proofErr w:type="spellStart"/>
      <w:r w:rsidRPr="006C520E">
        <w:rPr>
          <w:szCs w:val="24"/>
        </w:rPr>
        <w:t>Sakanko</w:t>
      </w:r>
      <w:proofErr w:type="spellEnd"/>
      <w:r w:rsidRPr="006C520E">
        <w:rPr>
          <w:szCs w:val="24"/>
        </w:rPr>
        <w:t xml:space="preserve">, M.A., David, J., Abu, N. &amp; Gamal, A.A.M. (2024). Financial inclusion and underground economy nexus in West Africa: evidence from dynamic heterogeneous panel techniques. </w:t>
      </w:r>
      <w:r w:rsidRPr="006C520E">
        <w:rPr>
          <w:i/>
          <w:iCs/>
          <w:szCs w:val="24"/>
        </w:rPr>
        <w:t>Economic Change and Restructuring</w:t>
      </w:r>
      <w:r w:rsidRPr="006C520E">
        <w:rPr>
          <w:szCs w:val="24"/>
        </w:rPr>
        <w:t xml:space="preserve">, </w:t>
      </w:r>
      <w:r w:rsidRPr="006C520E">
        <w:rPr>
          <w:i/>
          <w:iCs/>
          <w:szCs w:val="24"/>
        </w:rPr>
        <w:t>57</w:t>
      </w:r>
      <w:r w:rsidRPr="006C520E">
        <w:rPr>
          <w:szCs w:val="24"/>
        </w:rPr>
        <w:t>(8)</w:t>
      </w:r>
      <w:r>
        <w:rPr>
          <w:szCs w:val="24"/>
        </w:rPr>
        <w:t>.</w:t>
      </w:r>
      <w:r w:rsidRPr="006C520E">
        <w:rPr>
          <w:szCs w:val="24"/>
        </w:rPr>
        <w:t xml:space="preserve"> </w:t>
      </w:r>
      <w:r w:rsidRPr="00517292">
        <w:rPr>
          <w:szCs w:val="24"/>
        </w:rPr>
        <w:t>https://doi.org/10.1007/s10644-024-09589-x</w:t>
      </w:r>
    </w:p>
    <w:p w14:paraId="0FAB2228" w14:textId="2E89F34F" w:rsidR="00517292" w:rsidRPr="006C520E" w:rsidRDefault="00517292" w:rsidP="00E45B7C">
      <w:pPr>
        <w:spacing w:after="0"/>
        <w:ind w:left="720" w:hanging="720"/>
        <w:rPr>
          <w:szCs w:val="24"/>
        </w:rPr>
      </w:pPr>
      <w:proofErr w:type="spellStart"/>
      <w:r w:rsidRPr="006C520E">
        <w:rPr>
          <w:szCs w:val="24"/>
        </w:rPr>
        <w:t>Saunoris</w:t>
      </w:r>
      <w:proofErr w:type="spellEnd"/>
      <w:r w:rsidRPr="006C520E">
        <w:rPr>
          <w:szCs w:val="24"/>
        </w:rPr>
        <w:t xml:space="preserve">, J.W. (2017). Is the shadow economy a bane or boon for economic growth? </w:t>
      </w:r>
      <w:r w:rsidRPr="006C520E">
        <w:rPr>
          <w:i/>
          <w:iCs/>
          <w:szCs w:val="24"/>
        </w:rPr>
        <w:t>Review of Development Economics</w:t>
      </w:r>
      <w:r w:rsidRPr="006C520E">
        <w:rPr>
          <w:szCs w:val="24"/>
        </w:rPr>
        <w:t xml:space="preserve">, </w:t>
      </w:r>
      <w:r w:rsidRPr="006C520E">
        <w:rPr>
          <w:i/>
          <w:iCs/>
          <w:szCs w:val="24"/>
        </w:rPr>
        <w:t>22</w:t>
      </w:r>
      <w:r w:rsidRPr="006C520E">
        <w:rPr>
          <w:szCs w:val="24"/>
        </w:rPr>
        <w:t>(1), 115-132</w:t>
      </w:r>
      <w:r>
        <w:rPr>
          <w:szCs w:val="24"/>
        </w:rPr>
        <w:t>.</w:t>
      </w:r>
      <w:r w:rsidRPr="006C520E">
        <w:rPr>
          <w:szCs w:val="24"/>
        </w:rPr>
        <w:t xml:space="preserve"> </w:t>
      </w:r>
      <w:r w:rsidRPr="00517292">
        <w:rPr>
          <w:szCs w:val="24"/>
        </w:rPr>
        <w:t>https://doi.org/10.1111/rode.12332</w:t>
      </w:r>
    </w:p>
    <w:p w14:paraId="334A0E1B" w14:textId="6CBEADAD" w:rsidR="00517292" w:rsidRPr="006C520E" w:rsidRDefault="00517292" w:rsidP="00E45B7C">
      <w:pPr>
        <w:spacing w:after="0"/>
        <w:ind w:left="720" w:hanging="720"/>
        <w:rPr>
          <w:szCs w:val="24"/>
        </w:rPr>
      </w:pPr>
      <w:r w:rsidRPr="006C520E">
        <w:rPr>
          <w:szCs w:val="24"/>
        </w:rPr>
        <w:t xml:space="preserve">Schneider, F. &amp; </w:t>
      </w:r>
      <w:proofErr w:type="spellStart"/>
      <w:r w:rsidRPr="006C520E">
        <w:rPr>
          <w:szCs w:val="24"/>
        </w:rPr>
        <w:t>Hametner</w:t>
      </w:r>
      <w:proofErr w:type="spellEnd"/>
      <w:r w:rsidRPr="006C520E">
        <w:rPr>
          <w:szCs w:val="24"/>
        </w:rPr>
        <w:t xml:space="preserve">, B. (2014). The shadow economy in Colombia: size and effects on economic growth. </w:t>
      </w:r>
      <w:r w:rsidRPr="006C520E">
        <w:rPr>
          <w:i/>
          <w:iCs/>
          <w:szCs w:val="24"/>
        </w:rPr>
        <w:t>Peace Economics, Peace Science and Public Policy</w:t>
      </w:r>
      <w:r w:rsidRPr="006C520E">
        <w:rPr>
          <w:szCs w:val="24"/>
        </w:rPr>
        <w:t>, 20(2), 293-325</w:t>
      </w:r>
      <w:r>
        <w:rPr>
          <w:szCs w:val="24"/>
        </w:rPr>
        <w:t>. https://doi.org</w:t>
      </w:r>
      <w:r w:rsidRPr="006C520E">
        <w:rPr>
          <w:szCs w:val="24"/>
        </w:rPr>
        <w:t>/10.1515/peps-2013-0059</w:t>
      </w:r>
    </w:p>
    <w:p w14:paraId="3B0BF6C7" w14:textId="77777777" w:rsidR="00517292" w:rsidRPr="006C520E" w:rsidRDefault="00517292" w:rsidP="00E45B7C">
      <w:pPr>
        <w:spacing w:after="0"/>
        <w:ind w:left="720" w:hanging="720"/>
        <w:rPr>
          <w:szCs w:val="24"/>
        </w:rPr>
      </w:pPr>
      <w:r w:rsidRPr="006C520E">
        <w:rPr>
          <w:szCs w:val="24"/>
        </w:rPr>
        <w:t xml:space="preserve">World Bank (2024). </w:t>
      </w:r>
      <w:r w:rsidRPr="006C520E">
        <w:rPr>
          <w:i/>
          <w:iCs/>
          <w:szCs w:val="24"/>
        </w:rPr>
        <w:t>World Development Indicators (WDI)</w:t>
      </w:r>
      <w:r w:rsidRPr="006C520E">
        <w:rPr>
          <w:szCs w:val="24"/>
        </w:rPr>
        <w:t>. World Bank, Washington, DC, available at: https://datacatalog.worldbank.org/world-development-indicators</w:t>
      </w:r>
    </w:p>
    <w:p w14:paraId="55070962" w14:textId="77777777" w:rsidR="00517292" w:rsidRPr="006C520E" w:rsidRDefault="00517292" w:rsidP="006331E6">
      <w:pPr>
        <w:spacing w:after="0"/>
        <w:ind w:left="720" w:hanging="720"/>
      </w:pPr>
      <w:r w:rsidRPr="006C520E">
        <w:lastRenderedPageBreak/>
        <w:t>Younas, Z. I., Qureshi, A., &amp; Al-</w:t>
      </w:r>
      <w:proofErr w:type="spellStart"/>
      <w:r w:rsidRPr="006C520E">
        <w:t>Faryan</w:t>
      </w:r>
      <w:proofErr w:type="spellEnd"/>
      <w:r w:rsidRPr="006C520E">
        <w:t xml:space="preserve">, M. A. S. (2022). Financial inclusion, the shadow economy and economic growth in developing economies. </w:t>
      </w:r>
      <w:r w:rsidRPr="006C520E">
        <w:rPr>
          <w:i/>
          <w:iCs/>
        </w:rPr>
        <w:t>Structural Change and Economic Dynamics</w:t>
      </w:r>
      <w:r w:rsidRPr="006C520E">
        <w:t xml:space="preserve">, </w:t>
      </w:r>
      <w:r w:rsidRPr="006C520E">
        <w:rPr>
          <w:i/>
          <w:iCs/>
        </w:rPr>
        <w:t>62</w:t>
      </w:r>
      <w:r w:rsidRPr="006C520E">
        <w:t>, 613-621. https://doi.org/10.1016/j.strueco.2022.03.011</w:t>
      </w:r>
      <w:r w:rsidRPr="006C520E">
        <w:rPr>
          <w:szCs w:val="24"/>
        </w:rPr>
        <w:br w:type="page"/>
      </w:r>
    </w:p>
    <w:p w14:paraId="42598B22" w14:textId="77777777" w:rsidR="00603ADE" w:rsidRPr="006C520E" w:rsidRDefault="00603ADE" w:rsidP="00603ADE">
      <w:pPr>
        <w:pStyle w:val="Heading1"/>
        <w:spacing w:line="240" w:lineRule="auto"/>
        <w:rPr>
          <w:rFonts w:ascii="Garamond" w:hAnsi="Garamond"/>
          <w:b/>
          <w:bCs/>
          <w:color w:val="auto"/>
          <w:sz w:val="24"/>
          <w:szCs w:val="24"/>
          <w:lang w:val="en-GB"/>
        </w:rPr>
      </w:pPr>
      <w:r w:rsidRPr="006C520E">
        <w:rPr>
          <w:rFonts w:ascii="Garamond" w:hAnsi="Garamond"/>
          <w:b/>
          <w:bCs/>
          <w:color w:val="auto"/>
          <w:sz w:val="24"/>
          <w:szCs w:val="24"/>
          <w:lang w:val="en-GB"/>
        </w:rPr>
        <w:lastRenderedPageBreak/>
        <w:t>Tables</w:t>
      </w:r>
    </w:p>
    <w:p w14:paraId="003B6A74" w14:textId="77777777" w:rsidR="00603ADE" w:rsidRPr="006C520E" w:rsidRDefault="00603ADE" w:rsidP="00603ADE">
      <w:pPr>
        <w:spacing w:after="0"/>
      </w:pPr>
      <w:r w:rsidRPr="006C520E">
        <w:rPr>
          <w:b/>
        </w:rPr>
        <w:t>Table 1</w:t>
      </w:r>
      <w:r w:rsidRPr="006C520E">
        <w:t xml:space="preserve"> Descriptive statistics and correlation analysis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1014"/>
        <w:gridCol w:w="960"/>
        <w:gridCol w:w="960"/>
        <w:gridCol w:w="960"/>
        <w:gridCol w:w="1075"/>
        <w:gridCol w:w="968"/>
        <w:gridCol w:w="960"/>
        <w:gridCol w:w="895"/>
        <w:gridCol w:w="831"/>
      </w:tblGrid>
      <w:tr w:rsidR="00603ADE" w:rsidRPr="006C520E" w14:paraId="1299C888" w14:textId="77777777" w:rsidTr="009A58A3">
        <w:tc>
          <w:tcPr>
            <w:tcW w:w="394" w:type="pct"/>
            <w:tcBorders>
              <w:top w:val="single" w:sz="4" w:space="0" w:color="auto"/>
              <w:bottom w:val="single" w:sz="4" w:space="0" w:color="auto"/>
            </w:tcBorders>
            <w:vAlign w:val="center"/>
          </w:tcPr>
          <w:p w14:paraId="026F821E" w14:textId="77777777" w:rsidR="00603ADE" w:rsidRPr="006C520E" w:rsidRDefault="00603ADE" w:rsidP="009A58A3">
            <w:pPr>
              <w:jc w:val="right"/>
            </w:pPr>
          </w:p>
        </w:tc>
        <w:tc>
          <w:tcPr>
            <w:tcW w:w="542" w:type="pct"/>
            <w:tcBorders>
              <w:top w:val="single" w:sz="4" w:space="0" w:color="auto"/>
              <w:bottom w:val="single" w:sz="4" w:space="0" w:color="auto"/>
            </w:tcBorders>
            <w:vAlign w:val="center"/>
          </w:tcPr>
          <w:p w14:paraId="0ADF5F31" w14:textId="77777777" w:rsidR="00603ADE" w:rsidRPr="006C520E" w:rsidRDefault="00603ADE" w:rsidP="009A58A3">
            <w:pPr>
              <w:jc w:val="right"/>
            </w:pPr>
            <m:oMathPara>
              <m:oMathParaPr>
                <m:jc m:val="center"/>
              </m:oMathParaPr>
              <m:oMath>
                <m:r>
                  <w:rPr>
                    <w:rFonts w:ascii="Cambria Math" w:eastAsiaTheme="minorEastAsia" w:hAnsi="Cambria Math"/>
                  </w:rPr>
                  <m:t>y</m:t>
                </m:r>
              </m:oMath>
            </m:oMathPara>
          </w:p>
        </w:tc>
        <w:tc>
          <w:tcPr>
            <w:tcW w:w="513" w:type="pct"/>
            <w:tcBorders>
              <w:top w:val="single" w:sz="4" w:space="0" w:color="auto"/>
              <w:bottom w:val="single" w:sz="4" w:space="0" w:color="auto"/>
            </w:tcBorders>
            <w:vAlign w:val="center"/>
          </w:tcPr>
          <w:p w14:paraId="365395AF" w14:textId="77777777" w:rsidR="00603ADE" w:rsidRPr="006C520E" w:rsidRDefault="00603ADE" w:rsidP="009A58A3">
            <w:pPr>
              <w:jc w:val="right"/>
            </w:pPr>
            <m:oMathPara>
              <m:oMathParaPr>
                <m:jc m:val="center"/>
              </m:oMathParaPr>
              <m:oMath>
                <m:r>
                  <w:rPr>
                    <w:rFonts w:ascii="Cambria Math" w:hAnsi="Cambria Math"/>
                  </w:rPr>
                  <m:t>oil</m:t>
                </m:r>
              </m:oMath>
            </m:oMathPara>
          </w:p>
        </w:tc>
        <w:tc>
          <w:tcPr>
            <w:tcW w:w="513" w:type="pct"/>
            <w:tcBorders>
              <w:top w:val="single" w:sz="4" w:space="0" w:color="auto"/>
              <w:bottom w:val="single" w:sz="4" w:space="0" w:color="auto"/>
            </w:tcBorders>
            <w:vAlign w:val="center"/>
          </w:tcPr>
          <w:p w14:paraId="3FA22BAF" w14:textId="77777777" w:rsidR="00603ADE" w:rsidRPr="006C520E" w:rsidRDefault="00603ADE" w:rsidP="009A58A3">
            <w:pPr>
              <w:jc w:val="right"/>
            </w:pPr>
            <m:oMathPara>
              <m:oMathParaPr>
                <m:jc m:val="center"/>
              </m:oMathParaPr>
              <m:oMath>
                <m:r>
                  <w:rPr>
                    <w:rFonts w:ascii="Cambria Math" w:hAnsi="Cambria Math"/>
                  </w:rPr>
                  <m:t>ue</m:t>
                </m:r>
              </m:oMath>
            </m:oMathPara>
          </w:p>
        </w:tc>
        <w:tc>
          <w:tcPr>
            <w:tcW w:w="513" w:type="pct"/>
            <w:tcBorders>
              <w:top w:val="single" w:sz="4" w:space="0" w:color="auto"/>
              <w:bottom w:val="single" w:sz="4" w:space="0" w:color="auto"/>
            </w:tcBorders>
            <w:vAlign w:val="center"/>
          </w:tcPr>
          <w:p w14:paraId="4B72B749" w14:textId="77777777" w:rsidR="00603ADE" w:rsidRPr="006C520E" w:rsidRDefault="00603ADE" w:rsidP="009A58A3">
            <w:pPr>
              <w:jc w:val="right"/>
              <w:rPr>
                <w:rFonts w:eastAsia="Calibri" w:cs="Times New Roman"/>
              </w:rPr>
            </w:pPr>
            <m:oMathPara>
              <m:oMathParaPr>
                <m:jc m:val="center"/>
              </m:oMathParaPr>
              <m:oMath>
                <m:r>
                  <w:rPr>
                    <w:rFonts w:ascii="Cambria Math" w:hAnsi="Cambria Math"/>
                  </w:rPr>
                  <m:t>debt</m:t>
                </m:r>
              </m:oMath>
            </m:oMathPara>
          </w:p>
        </w:tc>
        <w:tc>
          <w:tcPr>
            <w:tcW w:w="574" w:type="pct"/>
            <w:tcBorders>
              <w:top w:val="single" w:sz="4" w:space="0" w:color="auto"/>
              <w:bottom w:val="single" w:sz="4" w:space="0" w:color="auto"/>
            </w:tcBorders>
            <w:vAlign w:val="center"/>
          </w:tcPr>
          <w:p w14:paraId="0AEE35C7" w14:textId="77777777" w:rsidR="00603ADE" w:rsidRPr="006C520E" w:rsidRDefault="00603ADE" w:rsidP="009A58A3">
            <w:pPr>
              <w:jc w:val="right"/>
            </w:pPr>
            <m:oMathPara>
              <m:oMathParaPr>
                <m:jc m:val="center"/>
              </m:oMathParaPr>
              <m:oMath>
                <m:r>
                  <w:rPr>
                    <w:rFonts w:ascii="Cambria Math" w:hAnsi="Cambria Math"/>
                  </w:rPr>
                  <m:t>dinv</m:t>
                </m:r>
              </m:oMath>
            </m:oMathPara>
          </w:p>
        </w:tc>
        <w:tc>
          <w:tcPr>
            <w:tcW w:w="517" w:type="pct"/>
            <w:tcBorders>
              <w:top w:val="single" w:sz="4" w:space="0" w:color="auto"/>
              <w:bottom w:val="single" w:sz="4" w:space="0" w:color="auto"/>
            </w:tcBorders>
            <w:vAlign w:val="center"/>
          </w:tcPr>
          <w:p w14:paraId="6F91C6FE" w14:textId="77777777" w:rsidR="00603ADE" w:rsidRPr="006C520E" w:rsidRDefault="00603ADE" w:rsidP="009A58A3">
            <w:pPr>
              <w:jc w:val="right"/>
            </w:pPr>
            <m:oMathPara>
              <m:oMathParaPr>
                <m:jc m:val="center"/>
              </m:oMathParaPr>
              <m:oMath>
                <m:r>
                  <w:rPr>
                    <w:rFonts w:ascii="Cambria Math" w:hAnsi="Cambria Math"/>
                  </w:rPr>
                  <m:t>fx</m:t>
                </m:r>
              </m:oMath>
            </m:oMathPara>
          </w:p>
        </w:tc>
        <w:tc>
          <w:tcPr>
            <w:tcW w:w="513" w:type="pct"/>
            <w:tcBorders>
              <w:top w:val="single" w:sz="4" w:space="0" w:color="auto"/>
              <w:bottom w:val="single" w:sz="4" w:space="0" w:color="auto"/>
            </w:tcBorders>
            <w:vAlign w:val="center"/>
          </w:tcPr>
          <w:p w14:paraId="468BE4DA" w14:textId="77777777" w:rsidR="00603ADE" w:rsidRPr="006C520E" w:rsidRDefault="00603ADE" w:rsidP="009A58A3">
            <w:pPr>
              <w:jc w:val="right"/>
            </w:pPr>
            <m:oMathPara>
              <m:oMathParaPr>
                <m:jc m:val="center"/>
              </m:oMathParaPr>
              <m:oMath>
                <m:r>
                  <w:rPr>
                    <w:rFonts w:ascii="Cambria Math" w:hAnsi="Cambria Math"/>
                  </w:rPr>
                  <m:t>elec</m:t>
                </m:r>
              </m:oMath>
            </m:oMathPara>
          </w:p>
        </w:tc>
        <w:tc>
          <w:tcPr>
            <w:tcW w:w="478" w:type="pct"/>
            <w:tcBorders>
              <w:top w:val="single" w:sz="4" w:space="0" w:color="auto"/>
              <w:bottom w:val="single" w:sz="4" w:space="0" w:color="auto"/>
            </w:tcBorders>
          </w:tcPr>
          <w:p w14:paraId="7FD74C4B" w14:textId="77777777" w:rsidR="00603ADE" w:rsidRPr="006C520E" w:rsidRDefault="00603ADE" w:rsidP="009A58A3">
            <w:pPr>
              <w:jc w:val="right"/>
              <w:rPr>
                <w:rFonts w:eastAsia="Calibri" w:cs="Times New Roman"/>
              </w:rPr>
            </w:pPr>
            <m:oMathPara>
              <m:oMath>
                <m:r>
                  <w:rPr>
                    <w:rFonts w:ascii="Cambria Math" w:hAnsi="Cambria Math"/>
                  </w:rPr>
                  <m:t>fbal</m:t>
                </m:r>
              </m:oMath>
            </m:oMathPara>
          </w:p>
        </w:tc>
        <w:tc>
          <w:tcPr>
            <w:tcW w:w="444" w:type="pct"/>
            <w:tcBorders>
              <w:top w:val="single" w:sz="4" w:space="0" w:color="auto"/>
              <w:bottom w:val="single" w:sz="4" w:space="0" w:color="auto"/>
            </w:tcBorders>
          </w:tcPr>
          <w:p w14:paraId="0196D5EE" w14:textId="77777777" w:rsidR="00603ADE" w:rsidRPr="006C520E" w:rsidRDefault="00603ADE" w:rsidP="009A58A3">
            <w:pPr>
              <w:jc w:val="right"/>
              <w:rPr>
                <w:rFonts w:eastAsia="Calibri" w:cs="Times New Roman"/>
              </w:rPr>
            </w:pPr>
            <m:oMathPara>
              <m:oMath>
                <m:r>
                  <w:rPr>
                    <w:rFonts w:ascii="Cambria Math" w:hAnsi="Cambria Math"/>
                  </w:rPr>
                  <m:t>p</m:t>
                </m:r>
              </m:oMath>
            </m:oMathPara>
          </w:p>
        </w:tc>
      </w:tr>
      <w:tr w:rsidR="00603ADE" w:rsidRPr="006C520E" w14:paraId="71C26C24" w14:textId="77777777" w:rsidTr="009A58A3">
        <w:tc>
          <w:tcPr>
            <w:tcW w:w="394" w:type="pct"/>
            <w:tcBorders>
              <w:top w:val="single" w:sz="4" w:space="0" w:color="auto"/>
            </w:tcBorders>
            <w:vAlign w:val="center"/>
          </w:tcPr>
          <w:p w14:paraId="30AEBE4F" w14:textId="77777777" w:rsidR="00603ADE" w:rsidRPr="006C520E" w:rsidRDefault="00603ADE" w:rsidP="009A58A3">
            <w:pPr>
              <w:jc w:val="left"/>
            </w:pPr>
            <w:r w:rsidRPr="006C520E">
              <w:t>Mean</w:t>
            </w:r>
          </w:p>
        </w:tc>
        <w:tc>
          <w:tcPr>
            <w:tcW w:w="542" w:type="pct"/>
            <w:tcBorders>
              <w:top w:val="single" w:sz="4" w:space="0" w:color="auto"/>
            </w:tcBorders>
            <w:vAlign w:val="bottom"/>
          </w:tcPr>
          <w:p w14:paraId="3AC7A4D1" w14:textId="77777777" w:rsidR="00603ADE" w:rsidRPr="006C520E" w:rsidRDefault="00603ADE" w:rsidP="009A58A3">
            <w:pPr>
              <w:jc w:val="center"/>
            </w:pPr>
            <w:r w:rsidRPr="006C520E">
              <w:t>26.371</w:t>
            </w:r>
          </w:p>
        </w:tc>
        <w:tc>
          <w:tcPr>
            <w:tcW w:w="513" w:type="pct"/>
            <w:tcBorders>
              <w:top w:val="single" w:sz="4" w:space="0" w:color="auto"/>
            </w:tcBorders>
            <w:vAlign w:val="bottom"/>
          </w:tcPr>
          <w:p w14:paraId="180ACC65" w14:textId="77777777" w:rsidR="00603ADE" w:rsidRPr="006C520E" w:rsidRDefault="00603ADE" w:rsidP="009A58A3">
            <w:pPr>
              <w:jc w:val="center"/>
            </w:pPr>
            <w:r w:rsidRPr="006C520E">
              <w:t>10.815</w:t>
            </w:r>
          </w:p>
        </w:tc>
        <w:tc>
          <w:tcPr>
            <w:tcW w:w="513" w:type="pct"/>
            <w:tcBorders>
              <w:top w:val="single" w:sz="4" w:space="0" w:color="auto"/>
            </w:tcBorders>
            <w:vAlign w:val="bottom"/>
          </w:tcPr>
          <w:p w14:paraId="714FEE0B" w14:textId="77777777" w:rsidR="00603ADE" w:rsidRPr="006C520E" w:rsidRDefault="00603ADE" w:rsidP="009A58A3">
            <w:pPr>
              <w:jc w:val="center"/>
              <w:rPr>
                <w:rFonts w:eastAsia="Times New Roman" w:cs="Calibri"/>
                <w:szCs w:val="24"/>
              </w:rPr>
            </w:pPr>
            <w:r w:rsidRPr="006C520E">
              <w:rPr>
                <w:rFonts w:eastAsia="Times New Roman" w:cs="Calibri"/>
                <w:szCs w:val="24"/>
              </w:rPr>
              <w:t>55.915</w:t>
            </w:r>
          </w:p>
        </w:tc>
        <w:tc>
          <w:tcPr>
            <w:tcW w:w="513" w:type="pct"/>
            <w:tcBorders>
              <w:top w:val="single" w:sz="4" w:space="0" w:color="auto"/>
            </w:tcBorders>
            <w:vAlign w:val="bottom"/>
          </w:tcPr>
          <w:p w14:paraId="226C1468" w14:textId="77777777" w:rsidR="00603ADE" w:rsidRPr="006C520E" w:rsidRDefault="00603ADE" w:rsidP="009A58A3">
            <w:pPr>
              <w:jc w:val="center"/>
              <w:rPr>
                <w:rFonts w:eastAsia="Times New Roman" w:cs="Calibri"/>
                <w:szCs w:val="24"/>
              </w:rPr>
            </w:pPr>
            <w:r w:rsidRPr="006C520E">
              <w:rPr>
                <w:rFonts w:eastAsia="Times New Roman" w:cs="Calibri"/>
                <w:szCs w:val="24"/>
              </w:rPr>
              <w:t>33.739</w:t>
            </w:r>
          </w:p>
        </w:tc>
        <w:tc>
          <w:tcPr>
            <w:tcW w:w="574" w:type="pct"/>
            <w:tcBorders>
              <w:top w:val="single" w:sz="4" w:space="0" w:color="auto"/>
            </w:tcBorders>
            <w:vAlign w:val="bottom"/>
          </w:tcPr>
          <w:p w14:paraId="2757AFBA" w14:textId="77777777" w:rsidR="00603ADE" w:rsidRPr="006C520E" w:rsidRDefault="00603ADE" w:rsidP="009A58A3">
            <w:pPr>
              <w:jc w:val="center"/>
              <w:rPr>
                <w:rFonts w:eastAsia="Times New Roman" w:cs="Calibri"/>
                <w:szCs w:val="24"/>
              </w:rPr>
            </w:pPr>
            <w:r w:rsidRPr="006C520E">
              <w:rPr>
                <w:rFonts w:eastAsia="Times New Roman" w:cs="Calibri"/>
                <w:szCs w:val="24"/>
              </w:rPr>
              <w:t>16.593</w:t>
            </w:r>
          </w:p>
        </w:tc>
        <w:tc>
          <w:tcPr>
            <w:tcW w:w="517" w:type="pct"/>
            <w:tcBorders>
              <w:top w:val="single" w:sz="4" w:space="0" w:color="auto"/>
            </w:tcBorders>
            <w:vAlign w:val="bottom"/>
          </w:tcPr>
          <w:p w14:paraId="69FD3328" w14:textId="77777777" w:rsidR="00603ADE" w:rsidRPr="006C520E" w:rsidRDefault="00603ADE" w:rsidP="009A58A3">
            <w:pPr>
              <w:jc w:val="center"/>
              <w:rPr>
                <w:rFonts w:eastAsia="Times New Roman" w:cs="Calibri"/>
                <w:szCs w:val="24"/>
              </w:rPr>
            </w:pPr>
            <w:r w:rsidRPr="006C520E">
              <w:rPr>
                <w:rFonts w:eastAsia="Times New Roman" w:cs="Calibri"/>
                <w:szCs w:val="24"/>
              </w:rPr>
              <w:t>146.551</w:t>
            </w:r>
          </w:p>
        </w:tc>
        <w:tc>
          <w:tcPr>
            <w:tcW w:w="513" w:type="pct"/>
            <w:tcBorders>
              <w:top w:val="single" w:sz="4" w:space="0" w:color="auto"/>
            </w:tcBorders>
            <w:vAlign w:val="bottom"/>
          </w:tcPr>
          <w:p w14:paraId="31A07566" w14:textId="77777777" w:rsidR="00603ADE" w:rsidRPr="006C520E" w:rsidRDefault="00603ADE" w:rsidP="009A58A3">
            <w:pPr>
              <w:jc w:val="center"/>
              <w:rPr>
                <w:rFonts w:eastAsia="Times New Roman" w:cs="Calibri"/>
                <w:szCs w:val="24"/>
              </w:rPr>
            </w:pPr>
            <w:r w:rsidRPr="006C520E">
              <w:rPr>
                <w:rFonts w:eastAsia="Times New Roman" w:cs="Calibri"/>
                <w:szCs w:val="24"/>
              </w:rPr>
              <w:t>47.767</w:t>
            </w:r>
          </w:p>
        </w:tc>
        <w:tc>
          <w:tcPr>
            <w:tcW w:w="478" w:type="pct"/>
            <w:tcBorders>
              <w:top w:val="single" w:sz="4" w:space="0" w:color="auto"/>
            </w:tcBorders>
          </w:tcPr>
          <w:p w14:paraId="73C4AB29" w14:textId="77777777" w:rsidR="00603ADE" w:rsidRPr="006C520E" w:rsidRDefault="00603ADE" w:rsidP="009A58A3">
            <w:pPr>
              <w:jc w:val="center"/>
              <w:rPr>
                <w:rFonts w:eastAsia="Times New Roman" w:cs="Calibri"/>
                <w:szCs w:val="24"/>
              </w:rPr>
            </w:pPr>
            <w:r w:rsidRPr="006C520E">
              <w:rPr>
                <w:rFonts w:eastAsia="Times New Roman" w:cs="Calibri"/>
                <w:szCs w:val="24"/>
              </w:rPr>
              <w:t>-1.248</w:t>
            </w:r>
          </w:p>
        </w:tc>
        <w:tc>
          <w:tcPr>
            <w:tcW w:w="444" w:type="pct"/>
            <w:tcBorders>
              <w:top w:val="single" w:sz="4" w:space="0" w:color="auto"/>
            </w:tcBorders>
          </w:tcPr>
          <w:p w14:paraId="5AE72D51" w14:textId="77777777" w:rsidR="00603ADE" w:rsidRPr="006C520E" w:rsidRDefault="00603ADE" w:rsidP="009A58A3">
            <w:pPr>
              <w:jc w:val="center"/>
              <w:rPr>
                <w:rFonts w:eastAsia="Times New Roman" w:cs="Calibri"/>
                <w:szCs w:val="24"/>
              </w:rPr>
            </w:pPr>
            <w:r w:rsidRPr="006C520E">
              <w:rPr>
                <w:rFonts w:eastAsia="Times New Roman" w:cs="Calibri"/>
                <w:szCs w:val="24"/>
              </w:rPr>
              <w:t>4.154</w:t>
            </w:r>
          </w:p>
        </w:tc>
      </w:tr>
      <w:tr w:rsidR="00603ADE" w:rsidRPr="006C520E" w14:paraId="7A6510CB" w14:textId="77777777" w:rsidTr="009A58A3">
        <w:tc>
          <w:tcPr>
            <w:tcW w:w="394" w:type="pct"/>
            <w:vAlign w:val="center"/>
          </w:tcPr>
          <w:p w14:paraId="4ABB9A9D" w14:textId="77777777" w:rsidR="00603ADE" w:rsidRPr="006C520E" w:rsidRDefault="00603ADE" w:rsidP="009A58A3">
            <w:pPr>
              <w:jc w:val="left"/>
            </w:pPr>
            <w:r w:rsidRPr="006C520E">
              <w:t>SD</w:t>
            </w:r>
          </w:p>
        </w:tc>
        <w:tc>
          <w:tcPr>
            <w:tcW w:w="542" w:type="pct"/>
            <w:vAlign w:val="bottom"/>
          </w:tcPr>
          <w:p w14:paraId="1A27447E" w14:textId="77777777" w:rsidR="00603ADE" w:rsidRPr="006C520E" w:rsidRDefault="00603ADE" w:rsidP="009A58A3">
            <w:pPr>
              <w:jc w:val="center"/>
              <w:rPr>
                <w:rFonts w:cs="Calibri"/>
                <w:szCs w:val="24"/>
              </w:rPr>
            </w:pPr>
            <w:r w:rsidRPr="006C520E">
              <w:rPr>
                <w:rFonts w:cs="Calibri"/>
                <w:szCs w:val="24"/>
              </w:rPr>
              <w:t>0.475</w:t>
            </w:r>
          </w:p>
        </w:tc>
        <w:tc>
          <w:tcPr>
            <w:tcW w:w="513" w:type="pct"/>
            <w:vAlign w:val="bottom"/>
          </w:tcPr>
          <w:p w14:paraId="6F7B45E0" w14:textId="77777777" w:rsidR="00603ADE" w:rsidRPr="006C520E" w:rsidRDefault="00603ADE" w:rsidP="009A58A3">
            <w:pPr>
              <w:jc w:val="center"/>
              <w:rPr>
                <w:rFonts w:cs="Calibri"/>
                <w:szCs w:val="24"/>
              </w:rPr>
            </w:pPr>
            <w:r w:rsidRPr="006C520E">
              <w:rPr>
                <w:rFonts w:cs="Calibri"/>
                <w:szCs w:val="24"/>
              </w:rPr>
              <w:t>5.925</w:t>
            </w:r>
          </w:p>
        </w:tc>
        <w:tc>
          <w:tcPr>
            <w:tcW w:w="513" w:type="pct"/>
            <w:vAlign w:val="bottom"/>
          </w:tcPr>
          <w:p w14:paraId="673493BD" w14:textId="77777777" w:rsidR="00603ADE" w:rsidRPr="006C520E" w:rsidRDefault="00603ADE" w:rsidP="009A58A3">
            <w:pPr>
              <w:jc w:val="center"/>
              <w:rPr>
                <w:rFonts w:cs="Calibri"/>
                <w:szCs w:val="24"/>
              </w:rPr>
            </w:pPr>
            <w:r w:rsidRPr="006C520E">
              <w:rPr>
                <w:rFonts w:cs="Calibri"/>
                <w:szCs w:val="24"/>
              </w:rPr>
              <w:t>4.638</w:t>
            </w:r>
          </w:p>
        </w:tc>
        <w:tc>
          <w:tcPr>
            <w:tcW w:w="513" w:type="pct"/>
            <w:vAlign w:val="bottom"/>
          </w:tcPr>
          <w:p w14:paraId="6714B31E" w14:textId="77777777" w:rsidR="00603ADE" w:rsidRPr="006C520E" w:rsidRDefault="00603ADE" w:rsidP="009A58A3">
            <w:pPr>
              <w:jc w:val="center"/>
              <w:rPr>
                <w:rFonts w:cs="Calibri"/>
                <w:szCs w:val="24"/>
              </w:rPr>
            </w:pPr>
            <w:r w:rsidRPr="006C520E">
              <w:rPr>
                <w:rFonts w:cs="Calibri"/>
                <w:szCs w:val="24"/>
              </w:rPr>
              <w:t>20.551</w:t>
            </w:r>
          </w:p>
        </w:tc>
        <w:tc>
          <w:tcPr>
            <w:tcW w:w="574" w:type="pct"/>
            <w:vAlign w:val="bottom"/>
          </w:tcPr>
          <w:p w14:paraId="20287099" w14:textId="77777777" w:rsidR="00603ADE" w:rsidRPr="006C520E" w:rsidRDefault="00603ADE" w:rsidP="009A58A3">
            <w:pPr>
              <w:jc w:val="center"/>
              <w:rPr>
                <w:rFonts w:cs="Calibri"/>
                <w:szCs w:val="24"/>
              </w:rPr>
            </w:pPr>
            <w:r w:rsidRPr="006C520E">
              <w:rPr>
                <w:rFonts w:cs="Calibri"/>
                <w:szCs w:val="24"/>
              </w:rPr>
              <w:t>4.067</w:t>
            </w:r>
          </w:p>
        </w:tc>
        <w:tc>
          <w:tcPr>
            <w:tcW w:w="517" w:type="pct"/>
            <w:vAlign w:val="bottom"/>
          </w:tcPr>
          <w:p w14:paraId="4A746A3C" w14:textId="77777777" w:rsidR="00603ADE" w:rsidRPr="006C520E" w:rsidRDefault="00603ADE" w:rsidP="009A58A3">
            <w:pPr>
              <w:jc w:val="center"/>
              <w:rPr>
                <w:rFonts w:cs="Calibri"/>
                <w:szCs w:val="24"/>
              </w:rPr>
            </w:pPr>
            <w:r w:rsidRPr="006C520E">
              <w:rPr>
                <w:rFonts w:cs="Calibri"/>
                <w:szCs w:val="24"/>
              </w:rPr>
              <w:t>115.795</w:t>
            </w:r>
          </w:p>
        </w:tc>
        <w:tc>
          <w:tcPr>
            <w:tcW w:w="513" w:type="pct"/>
            <w:vAlign w:val="bottom"/>
          </w:tcPr>
          <w:p w14:paraId="6F1C52AA" w14:textId="77777777" w:rsidR="00603ADE" w:rsidRPr="006C520E" w:rsidRDefault="00603ADE" w:rsidP="009A58A3">
            <w:pPr>
              <w:jc w:val="center"/>
              <w:rPr>
                <w:rFonts w:cs="Calibri"/>
                <w:szCs w:val="24"/>
              </w:rPr>
            </w:pPr>
            <w:r w:rsidRPr="006C520E">
              <w:rPr>
                <w:rFonts w:cs="Calibri"/>
                <w:szCs w:val="24"/>
              </w:rPr>
              <w:t>8.331</w:t>
            </w:r>
          </w:p>
        </w:tc>
        <w:tc>
          <w:tcPr>
            <w:tcW w:w="478" w:type="pct"/>
          </w:tcPr>
          <w:p w14:paraId="2C9C3FEA" w14:textId="77777777" w:rsidR="00603ADE" w:rsidRPr="006C520E" w:rsidRDefault="00603ADE" w:rsidP="009A58A3">
            <w:pPr>
              <w:jc w:val="center"/>
              <w:rPr>
                <w:rFonts w:cs="Calibri"/>
                <w:szCs w:val="24"/>
              </w:rPr>
            </w:pPr>
            <w:r w:rsidRPr="006C520E">
              <w:rPr>
                <w:rFonts w:cs="Calibri"/>
                <w:szCs w:val="24"/>
              </w:rPr>
              <w:t>4.336</w:t>
            </w:r>
          </w:p>
        </w:tc>
        <w:tc>
          <w:tcPr>
            <w:tcW w:w="444" w:type="pct"/>
          </w:tcPr>
          <w:p w14:paraId="014CCD1A" w14:textId="77777777" w:rsidR="00603ADE" w:rsidRPr="006C520E" w:rsidRDefault="00603ADE" w:rsidP="009A58A3">
            <w:pPr>
              <w:jc w:val="center"/>
              <w:rPr>
                <w:rFonts w:cs="Calibri"/>
                <w:szCs w:val="24"/>
              </w:rPr>
            </w:pPr>
            <w:r w:rsidRPr="006C520E">
              <w:rPr>
                <w:rFonts w:cs="Calibri"/>
                <w:szCs w:val="24"/>
              </w:rPr>
              <w:t>4.443</w:t>
            </w:r>
          </w:p>
        </w:tc>
      </w:tr>
      <w:tr w:rsidR="00603ADE" w:rsidRPr="006C520E" w14:paraId="39E85E5A" w14:textId="77777777" w:rsidTr="009A58A3">
        <w:tc>
          <w:tcPr>
            <w:tcW w:w="394" w:type="pct"/>
            <w:vAlign w:val="center"/>
          </w:tcPr>
          <w:p w14:paraId="12423E5A" w14:textId="77777777" w:rsidR="00603ADE" w:rsidRPr="006C520E" w:rsidRDefault="00603ADE" w:rsidP="009A58A3">
            <w:pPr>
              <w:jc w:val="left"/>
            </w:pPr>
            <w:r w:rsidRPr="006C520E">
              <w:t>Min.</w:t>
            </w:r>
          </w:p>
        </w:tc>
        <w:tc>
          <w:tcPr>
            <w:tcW w:w="542" w:type="pct"/>
            <w:vAlign w:val="bottom"/>
          </w:tcPr>
          <w:p w14:paraId="125EB26E" w14:textId="77777777" w:rsidR="00603ADE" w:rsidRPr="006C520E" w:rsidRDefault="00603ADE" w:rsidP="009A58A3">
            <w:pPr>
              <w:jc w:val="center"/>
              <w:rPr>
                <w:rFonts w:cs="Calibri"/>
                <w:szCs w:val="24"/>
              </w:rPr>
            </w:pPr>
            <w:r w:rsidRPr="006C520E">
              <w:rPr>
                <w:rFonts w:cs="Calibri"/>
                <w:szCs w:val="24"/>
              </w:rPr>
              <w:t>25.725</w:t>
            </w:r>
          </w:p>
        </w:tc>
        <w:tc>
          <w:tcPr>
            <w:tcW w:w="513" w:type="pct"/>
            <w:vAlign w:val="bottom"/>
          </w:tcPr>
          <w:p w14:paraId="55EFCE1F" w14:textId="77777777" w:rsidR="00603ADE" w:rsidRPr="006C520E" w:rsidRDefault="00603ADE" w:rsidP="009A58A3">
            <w:pPr>
              <w:jc w:val="center"/>
              <w:rPr>
                <w:rFonts w:cs="Calibri"/>
                <w:szCs w:val="24"/>
              </w:rPr>
            </w:pPr>
            <w:r w:rsidRPr="006C520E">
              <w:rPr>
                <w:rFonts w:cs="Calibri"/>
                <w:szCs w:val="24"/>
              </w:rPr>
              <w:t>2.323</w:t>
            </w:r>
          </w:p>
        </w:tc>
        <w:tc>
          <w:tcPr>
            <w:tcW w:w="513" w:type="pct"/>
            <w:vAlign w:val="bottom"/>
          </w:tcPr>
          <w:p w14:paraId="6BC362E3" w14:textId="77777777" w:rsidR="00603ADE" w:rsidRPr="006C520E" w:rsidRDefault="00603ADE" w:rsidP="009A58A3">
            <w:pPr>
              <w:jc w:val="center"/>
              <w:rPr>
                <w:rFonts w:cs="Calibri"/>
                <w:szCs w:val="24"/>
              </w:rPr>
            </w:pPr>
            <w:r w:rsidRPr="006C520E">
              <w:rPr>
                <w:rFonts w:cs="Calibri"/>
                <w:szCs w:val="24"/>
              </w:rPr>
              <w:t>47.149</w:t>
            </w:r>
          </w:p>
        </w:tc>
        <w:tc>
          <w:tcPr>
            <w:tcW w:w="513" w:type="pct"/>
            <w:vAlign w:val="bottom"/>
          </w:tcPr>
          <w:p w14:paraId="41B58052" w14:textId="77777777" w:rsidR="00603ADE" w:rsidRPr="006C520E" w:rsidRDefault="00603ADE" w:rsidP="009A58A3">
            <w:pPr>
              <w:jc w:val="center"/>
              <w:rPr>
                <w:rFonts w:cs="Calibri"/>
                <w:szCs w:val="24"/>
              </w:rPr>
            </w:pPr>
            <w:r w:rsidRPr="006C520E">
              <w:rPr>
                <w:rFonts w:cs="Calibri"/>
                <w:szCs w:val="24"/>
              </w:rPr>
              <w:t>7.060</w:t>
            </w:r>
          </w:p>
        </w:tc>
        <w:tc>
          <w:tcPr>
            <w:tcW w:w="574" w:type="pct"/>
            <w:vAlign w:val="bottom"/>
          </w:tcPr>
          <w:p w14:paraId="6B08AC51" w14:textId="77777777" w:rsidR="00603ADE" w:rsidRPr="006C520E" w:rsidRDefault="00603ADE" w:rsidP="009A58A3">
            <w:pPr>
              <w:jc w:val="center"/>
              <w:rPr>
                <w:rFonts w:cs="Calibri"/>
                <w:szCs w:val="24"/>
              </w:rPr>
            </w:pPr>
            <w:r w:rsidRPr="006C520E">
              <w:rPr>
                <w:rFonts w:cs="Calibri"/>
                <w:szCs w:val="24"/>
              </w:rPr>
              <w:t>10.331</w:t>
            </w:r>
          </w:p>
        </w:tc>
        <w:tc>
          <w:tcPr>
            <w:tcW w:w="517" w:type="pct"/>
            <w:vAlign w:val="bottom"/>
          </w:tcPr>
          <w:p w14:paraId="46C79A29" w14:textId="77777777" w:rsidR="00603ADE" w:rsidRPr="006C520E" w:rsidRDefault="00603ADE" w:rsidP="009A58A3">
            <w:pPr>
              <w:jc w:val="center"/>
              <w:rPr>
                <w:rFonts w:cs="Calibri"/>
                <w:szCs w:val="24"/>
              </w:rPr>
            </w:pPr>
            <w:r w:rsidRPr="006C520E">
              <w:rPr>
                <w:rFonts w:cs="Calibri"/>
                <w:szCs w:val="24"/>
              </w:rPr>
              <w:t>7.901</w:t>
            </w:r>
          </w:p>
        </w:tc>
        <w:tc>
          <w:tcPr>
            <w:tcW w:w="513" w:type="pct"/>
            <w:vAlign w:val="bottom"/>
          </w:tcPr>
          <w:p w14:paraId="7271DEBF" w14:textId="77777777" w:rsidR="00603ADE" w:rsidRPr="006C520E" w:rsidRDefault="00603ADE" w:rsidP="009A58A3">
            <w:pPr>
              <w:jc w:val="center"/>
              <w:rPr>
                <w:rFonts w:cs="Calibri"/>
                <w:szCs w:val="24"/>
              </w:rPr>
            </w:pPr>
            <w:r w:rsidRPr="006C520E">
              <w:rPr>
                <w:rFonts w:cs="Calibri"/>
                <w:szCs w:val="24"/>
              </w:rPr>
              <w:t>24.071</w:t>
            </w:r>
          </w:p>
        </w:tc>
        <w:tc>
          <w:tcPr>
            <w:tcW w:w="478" w:type="pct"/>
          </w:tcPr>
          <w:p w14:paraId="157B4D03" w14:textId="77777777" w:rsidR="00603ADE" w:rsidRPr="006C520E" w:rsidRDefault="00603ADE" w:rsidP="009A58A3">
            <w:pPr>
              <w:jc w:val="center"/>
              <w:rPr>
                <w:rFonts w:cs="Calibri"/>
                <w:szCs w:val="24"/>
              </w:rPr>
            </w:pPr>
            <w:r w:rsidRPr="006C520E">
              <w:rPr>
                <w:rFonts w:cs="Calibri"/>
                <w:szCs w:val="24"/>
              </w:rPr>
              <w:t>-10.017</w:t>
            </w:r>
          </w:p>
        </w:tc>
        <w:tc>
          <w:tcPr>
            <w:tcW w:w="444" w:type="pct"/>
          </w:tcPr>
          <w:p w14:paraId="364616E0" w14:textId="77777777" w:rsidR="00603ADE" w:rsidRPr="006C520E" w:rsidRDefault="00603ADE" w:rsidP="009A58A3">
            <w:pPr>
              <w:jc w:val="center"/>
              <w:rPr>
                <w:rFonts w:cs="Calibri"/>
                <w:szCs w:val="24"/>
              </w:rPr>
            </w:pPr>
            <w:r w:rsidRPr="006C520E">
              <w:rPr>
                <w:rFonts w:cs="Calibri"/>
                <w:szCs w:val="24"/>
              </w:rPr>
              <w:t>-4.667</w:t>
            </w:r>
          </w:p>
        </w:tc>
      </w:tr>
      <w:tr w:rsidR="00603ADE" w:rsidRPr="006C520E" w14:paraId="512F360B" w14:textId="77777777" w:rsidTr="009A58A3">
        <w:tc>
          <w:tcPr>
            <w:tcW w:w="394" w:type="pct"/>
            <w:vAlign w:val="center"/>
          </w:tcPr>
          <w:p w14:paraId="22786768" w14:textId="77777777" w:rsidR="00603ADE" w:rsidRPr="006C520E" w:rsidRDefault="00603ADE" w:rsidP="009A58A3">
            <w:pPr>
              <w:jc w:val="left"/>
            </w:pPr>
            <w:r w:rsidRPr="006C520E">
              <w:t>Max.</w:t>
            </w:r>
          </w:p>
        </w:tc>
        <w:tc>
          <w:tcPr>
            <w:tcW w:w="542" w:type="pct"/>
            <w:vAlign w:val="bottom"/>
          </w:tcPr>
          <w:p w14:paraId="0023C9EA" w14:textId="77777777" w:rsidR="00603ADE" w:rsidRPr="006C520E" w:rsidRDefault="00603ADE" w:rsidP="009A58A3">
            <w:pPr>
              <w:jc w:val="center"/>
              <w:rPr>
                <w:rFonts w:cs="Calibri"/>
                <w:szCs w:val="24"/>
              </w:rPr>
            </w:pPr>
            <w:r w:rsidRPr="006C520E">
              <w:rPr>
                <w:rFonts w:cs="Calibri"/>
                <w:szCs w:val="24"/>
              </w:rPr>
              <w:t>27.012</w:t>
            </w:r>
          </w:p>
        </w:tc>
        <w:tc>
          <w:tcPr>
            <w:tcW w:w="513" w:type="pct"/>
            <w:vAlign w:val="bottom"/>
          </w:tcPr>
          <w:p w14:paraId="7805D445" w14:textId="77777777" w:rsidR="00603ADE" w:rsidRPr="006C520E" w:rsidRDefault="00603ADE" w:rsidP="009A58A3">
            <w:pPr>
              <w:jc w:val="center"/>
              <w:rPr>
                <w:rFonts w:cs="Calibri"/>
                <w:szCs w:val="24"/>
              </w:rPr>
            </w:pPr>
            <w:r w:rsidRPr="006C520E">
              <w:rPr>
                <w:rFonts w:cs="Calibri"/>
                <w:szCs w:val="24"/>
              </w:rPr>
              <w:t>24.075</w:t>
            </w:r>
          </w:p>
        </w:tc>
        <w:tc>
          <w:tcPr>
            <w:tcW w:w="513" w:type="pct"/>
            <w:vAlign w:val="bottom"/>
          </w:tcPr>
          <w:p w14:paraId="12AD591A" w14:textId="77777777" w:rsidR="00603ADE" w:rsidRPr="006C520E" w:rsidRDefault="00603ADE" w:rsidP="009A58A3">
            <w:pPr>
              <w:jc w:val="center"/>
              <w:rPr>
                <w:rFonts w:cs="Calibri"/>
                <w:szCs w:val="24"/>
              </w:rPr>
            </w:pPr>
            <w:r w:rsidRPr="006C520E">
              <w:rPr>
                <w:rFonts w:cs="Calibri"/>
                <w:szCs w:val="24"/>
              </w:rPr>
              <w:t>64.503</w:t>
            </w:r>
          </w:p>
        </w:tc>
        <w:tc>
          <w:tcPr>
            <w:tcW w:w="513" w:type="pct"/>
            <w:vAlign w:val="bottom"/>
          </w:tcPr>
          <w:p w14:paraId="1F3FE9E1" w14:textId="77777777" w:rsidR="00603ADE" w:rsidRPr="006C520E" w:rsidRDefault="00603ADE" w:rsidP="009A58A3">
            <w:pPr>
              <w:jc w:val="center"/>
              <w:rPr>
                <w:rFonts w:cs="Calibri"/>
                <w:szCs w:val="24"/>
              </w:rPr>
            </w:pPr>
            <w:r w:rsidRPr="006C520E">
              <w:rPr>
                <w:rFonts w:cs="Calibri"/>
                <w:szCs w:val="24"/>
              </w:rPr>
              <w:t>75.714</w:t>
            </w:r>
          </w:p>
        </w:tc>
        <w:tc>
          <w:tcPr>
            <w:tcW w:w="574" w:type="pct"/>
            <w:vAlign w:val="bottom"/>
          </w:tcPr>
          <w:p w14:paraId="71FC0F63" w14:textId="77777777" w:rsidR="00603ADE" w:rsidRPr="006C520E" w:rsidRDefault="00603ADE" w:rsidP="009A58A3">
            <w:pPr>
              <w:jc w:val="center"/>
              <w:rPr>
                <w:rFonts w:cs="Calibri"/>
                <w:szCs w:val="24"/>
              </w:rPr>
            </w:pPr>
            <w:r w:rsidRPr="006C520E">
              <w:rPr>
                <w:rFonts w:cs="Calibri"/>
                <w:szCs w:val="24"/>
              </w:rPr>
              <w:t>27.633</w:t>
            </w:r>
          </w:p>
        </w:tc>
        <w:tc>
          <w:tcPr>
            <w:tcW w:w="517" w:type="pct"/>
            <w:vAlign w:val="bottom"/>
          </w:tcPr>
          <w:p w14:paraId="6DE74113" w14:textId="77777777" w:rsidR="00603ADE" w:rsidRPr="006C520E" w:rsidRDefault="00603ADE" w:rsidP="009A58A3">
            <w:pPr>
              <w:jc w:val="center"/>
              <w:rPr>
                <w:rFonts w:cs="Calibri"/>
                <w:szCs w:val="24"/>
              </w:rPr>
            </w:pPr>
            <w:r w:rsidRPr="006C520E">
              <w:rPr>
                <w:rFonts w:cs="Calibri"/>
                <w:szCs w:val="24"/>
              </w:rPr>
              <w:t>445.712</w:t>
            </w:r>
          </w:p>
        </w:tc>
        <w:tc>
          <w:tcPr>
            <w:tcW w:w="513" w:type="pct"/>
            <w:vAlign w:val="bottom"/>
          </w:tcPr>
          <w:p w14:paraId="5BB85655" w14:textId="77777777" w:rsidR="00603ADE" w:rsidRPr="006C520E" w:rsidRDefault="00603ADE" w:rsidP="009A58A3">
            <w:pPr>
              <w:jc w:val="center"/>
              <w:rPr>
                <w:rFonts w:cs="Calibri"/>
                <w:szCs w:val="24"/>
              </w:rPr>
            </w:pPr>
            <w:r w:rsidRPr="006C520E">
              <w:rPr>
                <w:rFonts w:cs="Calibri"/>
                <w:szCs w:val="24"/>
              </w:rPr>
              <w:t>64.355</w:t>
            </w:r>
          </w:p>
        </w:tc>
        <w:tc>
          <w:tcPr>
            <w:tcW w:w="478" w:type="pct"/>
          </w:tcPr>
          <w:p w14:paraId="49D4F264" w14:textId="77777777" w:rsidR="00603ADE" w:rsidRPr="006C520E" w:rsidRDefault="00603ADE" w:rsidP="009A58A3">
            <w:pPr>
              <w:jc w:val="center"/>
              <w:rPr>
                <w:rFonts w:cs="Calibri"/>
                <w:szCs w:val="24"/>
              </w:rPr>
            </w:pPr>
            <w:r w:rsidRPr="006C520E">
              <w:rPr>
                <w:rFonts w:cs="Calibri"/>
                <w:szCs w:val="24"/>
              </w:rPr>
              <w:t>10.406</w:t>
            </w:r>
          </w:p>
        </w:tc>
        <w:tc>
          <w:tcPr>
            <w:tcW w:w="444" w:type="pct"/>
          </w:tcPr>
          <w:p w14:paraId="0963B54E" w14:textId="77777777" w:rsidR="00603ADE" w:rsidRPr="006C520E" w:rsidRDefault="00603ADE" w:rsidP="009A58A3">
            <w:pPr>
              <w:jc w:val="center"/>
              <w:rPr>
                <w:rFonts w:cs="Calibri"/>
                <w:szCs w:val="24"/>
              </w:rPr>
            </w:pPr>
            <w:r w:rsidRPr="006C520E">
              <w:rPr>
                <w:rFonts w:cs="Calibri"/>
                <w:szCs w:val="24"/>
              </w:rPr>
              <w:t>22.296</w:t>
            </w:r>
          </w:p>
        </w:tc>
      </w:tr>
      <w:tr w:rsidR="00603ADE" w:rsidRPr="006C520E" w14:paraId="46897E3B" w14:textId="77777777" w:rsidTr="009A58A3">
        <w:tc>
          <w:tcPr>
            <w:tcW w:w="394" w:type="pct"/>
            <w:vAlign w:val="center"/>
          </w:tcPr>
          <w:p w14:paraId="1B39337E" w14:textId="77777777" w:rsidR="00603ADE" w:rsidRPr="006C520E" w:rsidRDefault="00603ADE" w:rsidP="009A58A3">
            <w:pPr>
              <w:jc w:val="left"/>
            </w:pPr>
            <m:oMathPara>
              <m:oMathParaPr>
                <m:jc m:val="left"/>
              </m:oMathParaPr>
              <m:oMath>
                <m:r>
                  <w:rPr>
                    <w:rFonts w:ascii="Cambria Math" w:hAnsi="Cambria Math"/>
                  </w:rPr>
                  <m:t>oil</m:t>
                </m:r>
              </m:oMath>
            </m:oMathPara>
          </w:p>
        </w:tc>
        <w:tc>
          <w:tcPr>
            <w:tcW w:w="542" w:type="pct"/>
            <w:vAlign w:val="bottom"/>
          </w:tcPr>
          <w:p w14:paraId="7C792709" w14:textId="77777777" w:rsidR="00603ADE" w:rsidRPr="006C520E" w:rsidRDefault="00603ADE" w:rsidP="009A58A3">
            <w:pPr>
              <w:jc w:val="center"/>
              <w:rPr>
                <w:rFonts w:cs="Calibri"/>
                <w:szCs w:val="24"/>
                <w:vertAlign w:val="superscript"/>
              </w:rPr>
            </w:pPr>
            <w:r w:rsidRPr="006C520E">
              <w:rPr>
                <w:rFonts w:cs="Calibri"/>
                <w:szCs w:val="24"/>
              </w:rPr>
              <w:t>-0.589</w:t>
            </w:r>
            <w:r w:rsidRPr="006C520E">
              <w:rPr>
                <w:rFonts w:cs="Calibri"/>
                <w:szCs w:val="24"/>
                <w:vertAlign w:val="superscript"/>
              </w:rPr>
              <w:t>a</w:t>
            </w:r>
          </w:p>
        </w:tc>
        <w:tc>
          <w:tcPr>
            <w:tcW w:w="513" w:type="pct"/>
            <w:vAlign w:val="center"/>
          </w:tcPr>
          <w:p w14:paraId="4EDB824C" w14:textId="77777777" w:rsidR="00603ADE" w:rsidRPr="006C520E" w:rsidRDefault="00603ADE" w:rsidP="009A58A3">
            <w:pPr>
              <w:jc w:val="center"/>
              <w:rPr>
                <w:rFonts w:eastAsiaTheme="minorEastAsia"/>
              </w:rPr>
            </w:pPr>
            <w:r w:rsidRPr="006C520E">
              <w:rPr>
                <w:rFonts w:eastAsiaTheme="minorEastAsia"/>
              </w:rPr>
              <w:t>1.000</w:t>
            </w:r>
          </w:p>
        </w:tc>
        <w:tc>
          <w:tcPr>
            <w:tcW w:w="513" w:type="pct"/>
            <w:vAlign w:val="center"/>
          </w:tcPr>
          <w:p w14:paraId="56228B87" w14:textId="77777777" w:rsidR="00603ADE" w:rsidRPr="006C520E" w:rsidRDefault="00603ADE" w:rsidP="009A58A3">
            <w:pPr>
              <w:jc w:val="center"/>
            </w:pPr>
          </w:p>
        </w:tc>
        <w:tc>
          <w:tcPr>
            <w:tcW w:w="513" w:type="pct"/>
            <w:vAlign w:val="bottom"/>
          </w:tcPr>
          <w:p w14:paraId="064FA5CB" w14:textId="77777777" w:rsidR="00603ADE" w:rsidRPr="006C520E" w:rsidRDefault="00603ADE" w:rsidP="009A58A3">
            <w:pPr>
              <w:jc w:val="center"/>
            </w:pPr>
          </w:p>
        </w:tc>
        <w:tc>
          <w:tcPr>
            <w:tcW w:w="574" w:type="pct"/>
            <w:vAlign w:val="center"/>
          </w:tcPr>
          <w:p w14:paraId="389817DE" w14:textId="77777777" w:rsidR="00603ADE" w:rsidRPr="006C520E" w:rsidRDefault="00603ADE" w:rsidP="009A58A3">
            <w:pPr>
              <w:jc w:val="center"/>
            </w:pPr>
          </w:p>
        </w:tc>
        <w:tc>
          <w:tcPr>
            <w:tcW w:w="517" w:type="pct"/>
            <w:vAlign w:val="center"/>
          </w:tcPr>
          <w:p w14:paraId="3DD85F30" w14:textId="77777777" w:rsidR="00603ADE" w:rsidRPr="006C520E" w:rsidRDefault="00603ADE" w:rsidP="009A58A3">
            <w:pPr>
              <w:jc w:val="center"/>
            </w:pPr>
          </w:p>
        </w:tc>
        <w:tc>
          <w:tcPr>
            <w:tcW w:w="513" w:type="pct"/>
            <w:vAlign w:val="center"/>
          </w:tcPr>
          <w:p w14:paraId="30C88F7A" w14:textId="77777777" w:rsidR="00603ADE" w:rsidRPr="006C520E" w:rsidRDefault="00603ADE" w:rsidP="009A58A3">
            <w:pPr>
              <w:jc w:val="center"/>
            </w:pPr>
          </w:p>
        </w:tc>
        <w:tc>
          <w:tcPr>
            <w:tcW w:w="478" w:type="pct"/>
          </w:tcPr>
          <w:p w14:paraId="19350966" w14:textId="77777777" w:rsidR="00603ADE" w:rsidRPr="006C520E" w:rsidRDefault="00603ADE" w:rsidP="009A58A3">
            <w:pPr>
              <w:jc w:val="center"/>
            </w:pPr>
          </w:p>
        </w:tc>
        <w:tc>
          <w:tcPr>
            <w:tcW w:w="444" w:type="pct"/>
          </w:tcPr>
          <w:p w14:paraId="22B64BDF" w14:textId="77777777" w:rsidR="00603ADE" w:rsidRPr="006C520E" w:rsidRDefault="00603ADE" w:rsidP="009A58A3">
            <w:pPr>
              <w:jc w:val="center"/>
            </w:pPr>
          </w:p>
        </w:tc>
      </w:tr>
      <w:tr w:rsidR="00603ADE" w:rsidRPr="006C520E" w14:paraId="5FD62A44" w14:textId="77777777" w:rsidTr="009A58A3">
        <w:tc>
          <w:tcPr>
            <w:tcW w:w="394" w:type="pct"/>
            <w:vAlign w:val="center"/>
          </w:tcPr>
          <w:p w14:paraId="23BC7D92" w14:textId="77777777" w:rsidR="00603ADE" w:rsidRPr="006C520E" w:rsidRDefault="00603ADE" w:rsidP="009A58A3">
            <w:pPr>
              <w:jc w:val="left"/>
            </w:pPr>
            <m:oMathPara>
              <m:oMathParaPr>
                <m:jc m:val="left"/>
              </m:oMathParaPr>
              <m:oMath>
                <m:r>
                  <w:rPr>
                    <w:rFonts w:ascii="Cambria Math" w:hAnsi="Cambria Math"/>
                  </w:rPr>
                  <m:t>ue</m:t>
                </m:r>
              </m:oMath>
            </m:oMathPara>
          </w:p>
        </w:tc>
        <w:tc>
          <w:tcPr>
            <w:tcW w:w="542" w:type="pct"/>
            <w:vAlign w:val="bottom"/>
          </w:tcPr>
          <w:p w14:paraId="1129FF3E" w14:textId="77777777" w:rsidR="00603ADE" w:rsidRPr="006C520E" w:rsidRDefault="00603ADE" w:rsidP="009A58A3">
            <w:pPr>
              <w:jc w:val="center"/>
              <w:rPr>
                <w:rFonts w:cs="Calibri"/>
                <w:szCs w:val="24"/>
              </w:rPr>
            </w:pPr>
            <w:r w:rsidRPr="006C520E">
              <w:rPr>
                <w:rFonts w:cs="Calibri"/>
                <w:szCs w:val="24"/>
              </w:rPr>
              <w:t>-0.889</w:t>
            </w:r>
            <w:r w:rsidRPr="006C520E">
              <w:rPr>
                <w:rFonts w:cs="Calibri"/>
                <w:szCs w:val="24"/>
                <w:vertAlign w:val="superscript"/>
              </w:rPr>
              <w:t>a</w:t>
            </w:r>
          </w:p>
        </w:tc>
        <w:tc>
          <w:tcPr>
            <w:tcW w:w="513" w:type="pct"/>
            <w:vAlign w:val="bottom"/>
          </w:tcPr>
          <w:p w14:paraId="13319FA7" w14:textId="77777777" w:rsidR="00603ADE" w:rsidRPr="006C520E" w:rsidRDefault="00603ADE" w:rsidP="009A58A3">
            <w:pPr>
              <w:jc w:val="center"/>
              <w:rPr>
                <w:vertAlign w:val="superscript"/>
              </w:rPr>
            </w:pPr>
            <w:r w:rsidRPr="006C520E">
              <w:t>0.484</w:t>
            </w:r>
            <w:r w:rsidRPr="006C520E">
              <w:rPr>
                <w:vertAlign w:val="superscript"/>
              </w:rPr>
              <w:t>a</w:t>
            </w:r>
          </w:p>
        </w:tc>
        <w:tc>
          <w:tcPr>
            <w:tcW w:w="513" w:type="pct"/>
            <w:vAlign w:val="center"/>
          </w:tcPr>
          <w:p w14:paraId="71C690FF" w14:textId="77777777" w:rsidR="00603ADE" w:rsidRPr="006C520E" w:rsidRDefault="00603ADE" w:rsidP="009A58A3">
            <w:pPr>
              <w:jc w:val="center"/>
            </w:pPr>
            <w:r w:rsidRPr="006C520E">
              <w:rPr>
                <w:rFonts w:eastAsiaTheme="minorEastAsia"/>
              </w:rPr>
              <w:t>1.000</w:t>
            </w:r>
          </w:p>
        </w:tc>
        <w:tc>
          <w:tcPr>
            <w:tcW w:w="513" w:type="pct"/>
          </w:tcPr>
          <w:p w14:paraId="69B583D7" w14:textId="77777777" w:rsidR="00603ADE" w:rsidRPr="006C520E" w:rsidRDefault="00603ADE" w:rsidP="009A58A3">
            <w:pPr>
              <w:jc w:val="center"/>
            </w:pPr>
          </w:p>
        </w:tc>
        <w:tc>
          <w:tcPr>
            <w:tcW w:w="574" w:type="pct"/>
            <w:vAlign w:val="center"/>
          </w:tcPr>
          <w:p w14:paraId="738FBD06" w14:textId="77777777" w:rsidR="00603ADE" w:rsidRPr="006C520E" w:rsidRDefault="00603ADE" w:rsidP="009A58A3">
            <w:pPr>
              <w:jc w:val="center"/>
            </w:pPr>
          </w:p>
        </w:tc>
        <w:tc>
          <w:tcPr>
            <w:tcW w:w="517" w:type="pct"/>
            <w:vAlign w:val="center"/>
          </w:tcPr>
          <w:p w14:paraId="6C537AED" w14:textId="77777777" w:rsidR="00603ADE" w:rsidRPr="006C520E" w:rsidRDefault="00603ADE" w:rsidP="009A58A3">
            <w:pPr>
              <w:jc w:val="center"/>
            </w:pPr>
          </w:p>
        </w:tc>
        <w:tc>
          <w:tcPr>
            <w:tcW w:w="513" w:type="pct"/>
            <w:vAlign w:val="center"/>
          </w:tcPr>
          <w:p w14:paraId="599FB7BA" w14:textId="77777777" w:rsidR="00603ADE" w:rsidRPr="006C520E" w:rsidRDefault="00603ADE" w:rsidP="009A58A3">
            <w:pPr>
              <w:jc w:val="center"/>
            </w:pPr>
          </w:p>
        </w:tc>
        <w:tc>
          <w:tcPr>
            <w:tcW w:w="478" w:type="pct"/>
          </w:tcPr>
          <w:p w14:paraId="5F584E7C" w14:textId="77777777" w:rsidR="00603ADE" w:rsidRPr="006C520E" w:rsidRDefault="00603ADE" w:rsidP="009A58A3">
            <w:pPr>
              <w:jc w:val="center"/>
            </w:pPr>
          </w:p>
        </w:tc>
        <w:tc>
          <w:tcPr>
            <w:tcW w:w="444" w:type="pct"/>
          </w:tcPr>
          <w:p w14:paraId="59C7C4CF" w14:textId="77777777" w:rsidR="00603ADE" w:rsidRPr="006C520E" w:rsidRDefault="00603ADE" w:rsidP="009A58A3">
            <w:pPr>
              <w:jc w:val="center"/>
            </w:pPr>
          </w:p>
        </w:tc>
      </w:tr>
      <w:tr w:rsidR="00603ADE" w:rsidRPr="006C520E" w14:paraId="0F878185" w14:textId="77777777" w:rsidTr="009A58A3">
        <w:tc>
          <w:tcPr>
            <w:tcW w:w="394" w:type="pct"/>
            <w:vAlign w:val="center"/>
          </w:tcPr>
          <w:p w14:paraId="36205037" w14:textId="77777777" w:rsidR="00603ADE" w:rsidRPr="006C520E" w:rsidRDefault="00603ADE" w:rsidP="009A58A3">
            <w:pPr>
              <w:jc w:val="left"/>
              <w:rPr>
                <w:rFonts w:eastAsia="Calibri" w:cs="Times New Roman"/>
              </w:rPr>
            </w:pPr>
            <m:oMathPara>
              <m:oMathParaPr>
                <m:jc m:val="left"/>
              </m:oMathParaPr>
              <m:oMath>
                <m:r>
                  <w:rPr>
                    <w:rFonts w:ascii="Cambria Math" w:hAnsi="Cambria Math"/>
                  </w:rPr>
                  <m:t>debt</m:t>
                </m:r>
              </m:oMath>
            </m:oMathPara>
          </w:p>
        </w:tc>
        <w:tc>
          <w:tcPr>
            <w:tcW w:w="542" w:type="pct"/>
            <w:vAlign w:val="bottom"/>
          </w:tcPr>
          <w:p w14:paraId="10B21BD6" w14:textId="77777777" w:rsidR="00603ADE" w:rsidRPr="006C520E" w:rsidRDefault="00603ADE" w:rsidP="009A58A3">
            <w:pPr>
              <w:jc w:val="center"/>
              <w:rPr>
                <w:rFonts w:cs="Calibri"/>
                <w:szCs w:val="24"/>
              </w:rPr>
            </w:pPr>
            <w:r w:rsidRPr="006C520E">
              <w:rPr>
                <w:rFonts w:cs="Calibri"/>
                <w:szCs w:val="24"/>
              </w:rPr>
              <w:t>-0.609</w:t>
            </w:r>
            <w:r w:rsidRPr="006C520E">
              <w:rPr>
                <w:vertAlign w:val="superscript"/>
              </w:rPr>
              <w:t>a</w:t>
            </w:r>
          </w:p>
        </w:tc>
        <w:tc>
          <w:tcPr>
            <w:tcW w:w="513" w:type="pct"/>
            <w:vAlign w:val="bottom"/>
          </w:tcPr>
          <w:p w14:paraId="1BE289A8" w14:textId="77777777" w:rsidR="00603ADE" w:rsidRPr="006C520E" w:rsidRDefault="00603ADE" w:rsidP="009A58A3">
            <w:pPr>
              <w:jc w:val="center"/>
            </w:pPr>
            <w:r w:rsidRPr="006C520E">
              <w:t>0.289</w:t>
            </w:r>
            <w:r w:rsidRPr="006C520E">
              <w:rPr>
                <w:vertAlign w:val="superscript"/>
              </w:rPr>
              <w:t>a</w:t>
            </w:r>
          </w:p>
        </w:tc>
        <w:tc>
          <w:tcPr>
            <w:tcW w:w="513" w:type="pct"/>
            <w:vAlign w:val="bottom"/>
          </w:tcPr>
          <w:p w14:paraId="5CC7AC40" w14:textId="77777777" w:rsidR="00603ADE" w:rsidRPr="006C520E" w:rsidRDefault="00603ADE" w:rsidP="009A58A3">
            <w:pPr>
              <w:jc w:val="center"/>
              <w:rPr>
                <w:vertAlign w:val="superscript"/>
              </w:rPr>
            </w:pPr>
            <w:r w:rsidRPr="006C520E">
              <w:t>0.552</w:t>
            </w:r>
            <w:r w:rsidRPr="006C520E">
              <w:rPr>
                <w:vertAlign w:val="superscript"/>
              </w:rPr>
              <w:t>a</w:t>
            </w:r>
          </w:p>
        </w:tc>
        <w:tc>
          <w:tcPr>
            <w:tcW w:w="513" w:type="pct"/>
            <w:vAlign w:val="center"/>
          </w:tcPr>
          <w:p w14:paraId="7327F242" w14:textId="77777777" w:rsidR="00603ADE" w:rsidRPr="006C520E" w:rsidRDefault="00603ADE" w:rsidP="009A58A3">
            <w:pPr>
              <w:jc w:val="center"/>
            </w:pPr>
            <w:r w:rsidRPr="006C520E">
              <w:rPr>
                <w:rFonts w:eastAsiaTheme="minorEastAsia"/>
              </w:rPr>
              <w:t>1.000</w:t>
            </w:r>
          </w:p>
        </w:tc>
        <w:tc>
          <w:tcPr>
            <w:tcW w:w="574" w:type="pct"/>
            <w:vAlign w:val="center"/>
          </w:tcPr>
          <w:p w14:paraId="5E85B41A" w14:textId="77777777" w:rsidR="00603ADE" w:rsidRPr="006C520E" w:rsidRDefault="00603ADE" w:rsidP="009A58A3">
            <w:pPr>
              <w:jc w:val="center"/>
            </w:pPr>
          </w:p>
        </w:tc>
        <w:tc>
          <w:tcPr>
            <w:tcW w:w="517" w:type="pct"/>
            <w:vAlign w:val="center"/>
          </w:tcPr>
          <w:p w14:paraId="4A5B3976" w14:textId="77777777" w:rsidR="00603ADE" w:rsidRPr="006C520E" w:rsidRDefault="00603ADE" w:rsidP="009A58A3">
            <w:pPr>
              <w:jc w:val="center"/>
            </w:pPr>
          </w:p>
        </w:tc>
        <w:tc>
          <w:tcPr>
            <w:tcW w:w="513" w:type="pct"/>
            <w:vAlign w:val="center"/>
          </w:tcPr>
          <w:p w14:paraId="28B852EA" w14:textId="77777777" w:rsidR="00603ADE" w:rsidRPr="006C520E" w:rsidRDefault="00603ADE" w:rsidP="009A58A3">
            <w:pPr>
              <w:jc w:val="center"/>
            </w:pPr>
          </w:p>
        </w:tc>
        <w:tc>
          <w:tcPr>
            <w:tcW w:w="478" w:type="pct"/>
          </w:tcPr>
          <w:p w14:paraId="425195D4" w14:textId="77777777" w:rsidR="00603ADE" w:rsidRPr="006C520E" w:rsidRDefault="00603ADE" w:rsidP="009A58A3">
            <w:pPr>
              <w:jc w:val="center"/>
            </w:pPr>
          </w:p>
        </w:tc>
        <w:tc>
          <w:tcPr>
            <w:tcW w:w="444" w:type="pct"/>
          </w:tcPr>
          <w:p w14:paraId="4EEDB00B" w14:textId="77777777" w:rsidR="00603ADE" w:rsidRPr="006C520E" w:rsidRDefault="00603ADE" w:rsidP="009A58A3">
            <w:pPr>
              <w:jc w:val="center"/>
            </w:pPr>
          </w:p>
        </w:tc>
      </w:tr>
      <w:tr w:rsidR="00603ADE" w:rsidRPr="006C520E" w14:paraId="776B7627" w14:textId="77777777" w:rsidTr="009A58A3">
        <w:tc>
          <w:tcPr>
            <w:tcW w:w="394" w:type="pct"/>
            <w:vAlign w:val="center"/>
          </w:tcPr>
          <w:p w14:paraId="5C8097E4" w14:textId="77777777" w:rsidR="00603ADE" w:rsidRPr="006C520E" w:rsidRDefault="00603ADE" w:rsidP="009A58A3">
            <w:pPr>
              <w:jc w:val="left"/>
            </w:pPr>
            <m:oMathPara>
              <m:oMathParaPr>
                <m:jc m:val="left"/>
              </m:oMathParaPr>
              <m:oMath>
                <m:r>
                  <w:rPr>
                    <w:rFonts w:ascii="Cambria Math" w:hAnsi="Cambria Math"/>
                  </w:rPr>
                  <m:t>dinv</m:t>
                </m:r>
              </m:oMath>
            </m:oMathPara>
          </w:p>
        </w:tc>
        <w:tc>
          <w:tcPr>
            <w:tcW w:w="542" w:type="pct"/>
            <w:vAlign w:val="bottom"/>
          </w:tcPr>
          <w:p w14:paraId="4C4FF818" w14:textId="77777777" w:rsidR="00603ADE" w:rsidRPr="006C520E" w:rsidRDefault="00603ADE" w:rsidP="009A58A3">
            <w:pPr>
              <w:jc w:val="center"/>
              <w:rPr>
                <w:rFonts w:cs="Calibri"/>
                <w:szCs w:val="24"/>
              </w:rPr>
            </w:pPr>
            <w:r w:rsidRPr="006C520E">
              <w:rPr>
                <w:rFonts w:cs="Calibri"/>
                <w:szCs w:val="24"/>
              </w:rPr>
              <w:t>0.629</w:t>
            </w:r>
            <w:r w:rsidRPr="006C520E">
              <w:rPr>
                <w:vertAlign w:val="superscript"/>
              </w:rPr>
              <w:t>a</w:t>
            </w:r>
          </w:p>
        </w:tc>
        <w:tc>
          <w:tcPr>
            <w:tcW w:w="513" w:type="pct"/>
            <w:vAlign w:val="bottom"/>
          </w:tcPr>
          <w:p w14:paraId="32ED8AA2" w14:textId="77777777" w:rsidR="00603ADE" w:rsidRPr="006C520E" w:rsidRDefault="00603ADE" w:rsidP="009A58A3">
            <w:pPr>
              <w:jc w:val="center"/>
              <w:rPr>
                <w:rFonts w:eastAsia="Times New Roman" w:cs="Calibri"/>
                <w:szCs w:val="24"/>
              </w:rPr>
            </w:pPr>
            <w:r w:rsidRPr="006C520E">
              <w:rPr>
                <w:rFonts w:eastAsia="Times New Roman" w:cs="Calibri"/>
                <w:szCs w:val="24"/>
              </w:rPr>
              <w:t>-0.475</w:t>
            </w:r>
            <w:r w:rsidRPr="006C520E">
              <w:rPr>
                <w:vertAlign w:val="superscript"/>
              </w:rPr>
              <w:t>a</w:t>
            </w:r>
          </w:p>
        </w:tc>
        <w:tc>
          <w:tcPr>
            <w:tcW w:w="513" w:type="pct"/>
            <w:vAlign w:val="bottom"/>
          </w:tcPr>
          <w:p w14:paraId="5DEC417D" w14:textId="77777777" w:rsidR="00603ADE" w:rsidRPr="006C520E" w:rsidRDefault="00603ADE" w:rsidP="009A58A3">
            <w:pPr>
              <w:jc w:val="center"/>
              <w:rPr>
                <w:rFonts w:eastAsia="Times New Roman" w:cs="Calibri"/>
                <w:szCs w:val="24"/>
              </w:rPr>
            </w:pPr>
            <w:r w:rsidRPr="006C520E">
              <w:rPr>
                <w:rFonts w:eastAsia="Times New Roman" w:cs="Calibri"/>
                <w:szCs w:val="24"/>
              </w:rPr>
              <w:t>-0.532</w:t>
            </w:r>
            <w:r w:rsidRPr="006C520E">
              <w:rPr>
                <w:vertAlign w:val="superscript"/>
              </w:rPr>
              <w:t>a</w:t>
            </w:r>
          </w:p>
        </w:tc>
        <w:tc>
          <w:tcPr>
            <w:tcW w:w="513" w:type="pct"/>
            <w:vAlign w:val="bottom"/>
          </w:tcPr>
          <w:p w14:paraId="4B99540B" w14:textId="77777777" w:rsidR="00603ADE" w:rsidRPr="006C520E" w:rsidRDefault="00603ADE" w:rsidP="009A58A3">
            <w:pPr>
              <w:jc w:val="center"/>
              <w:rPr>
                <w:vertAlign w:val="superscript"/>
              </w:rPr>
            </w:pPr>
            <w:r w:rsidRPr="006C520E">
              <w:t>-0.229</w:t>
            </w:r>
            <w:r w:rsidRPr="006C520E">
              <w:rPr>
                <w:vertAlign w:val="superscript"/>
              </w:rPr>
              <w:t>a</w:t>
            </w:r>
          </w:p>
        </w:tc>
        <w:tc>
          <w:tcPr>
            <w:tcW w:w="574" w:type="pct"/>
            <w:vAlign w:val="center"/>
          </w:tcPr>
          <w:p w14:paraId="5439F898" w14:textId="77777777" w:rsidR="00603ADE" w:rsidRPr="006C520E" w:rsidRDefault="00603ADE" w:rsidP="009A58A3">
            <w:pPr>
              <w:jc w:val="center"/>
            </w:pPr>
            <w:r w:rsidRPr="006C520E">
              <w:rPr>
                <w:rFonts w:eastAsiaTheme="minorEastAsia"/>
              </w:rPr>
              <w:t>1.000</w:t>
            </w:r>
          </w:p>
        </w:tc>
        <w:tc>
          <w:tcPr>
            <w:tcW w:w="517" w:type="pct"/>
            <w:vAlign w:val="center"/>
          </w:tcPr>
          <w:p w14:paraId="4F02CDD0" w14:textId="77777777" w:rsidR="00603ADE" w:rsidRPr="006C520E" w:rsidRDefault="00603ADE" w:rsidP="009A58A3">
            <w:pPr>
              <w:jc w:val="center"/>
            </w:pPr>
          </w:p>
        </w:tc>
        <w:tc>
          <w:tcPr>
            <w:tcW w:w="513" w:type="pct"/>
            <w:vAlign w:val="center"/>
          </w:tcPr>
          <w:p w14:paraId="399E824C" w14:textId="77777777" w:rsidR="00603ADE" w:rsidRPr="006C520E" w:rsidRDefault="00603ADE" w:rsidP="009A58A3">
            <w:pPr>
              <w:jc w:val="center"/>
            </w:pPr>
          </w:p>
        </w:tc>
        <w:tc>
          <w:tcPr>
            <w:tcW w:w="478" w:type="pct"/>
          </w:tcPr>
          <w:p w14:paraId="10F9805E" w14:textId="77777777" w:rsidR="00603ADE" w:rsidRPr="006C520E" w:rsidRDefault="00603ADE" w:rsidP="009A58A3">
            <w:pPr>
              <w:jc w:val="center"/>
            </w:pPr>
          </w:p>
        </w:tc>
        <w:tc>
          <w:tcPr>
            <w:tcW w:w="444" w:type="pct"/>
          </w:tcPr>
          <w:p w14:paraId="4EBE590F" w14:textId="77777777" w:rsidR="00603ADE" w:rsidRPr="006C520E" w:rsidRDefault="00603ADE" w:rsidP="009A58A3">
            <w:pPr>
              <w:jc w:val="center"/>
            </w:pPr>
          </w:p>
        </w:tc>
      </w:tr>
      <w:tr w:rsidR="00603ADE" w:rsidRPr="006C520E" w14:paraId="02D9EEA3" w14:textId="77777777" w:rsidTr="009A58A3">
        <w:tc>
          <w:tcPr>
            <w:tcW w:w="394" w:type="pct"/>
            <w:vAlign w:val="center"/>
          </w:tcPr>
          <w:p w14:paraId="70A0B0F9" w14:textId="77777777" w:rsidR="00603ADE" w:rsidRPr="006C520E" w:rsidRDefault="00603ADE" w:rsidP="009A58A3">
            <w:pPr>
              <w:jc w:val="left"/>
            </w:pPr>
            <m:oMathPara>
              <m:oMathParaPr>
                <m:jc m:val="left"/>
              </m:oMathParaPr>
              <m:oMath>
                <m:r>
                  <w:rPr>
                    <w:rFonts w:ascii="Cambria Math" w:hAnsi="Cambria Math"/>
                  </w:rPr>
                  <m:t>fx</m:t>
                </m:r>
              </m:oMath>
            </m:oMathPara>
          </w:p>
        </w:tc>
        <w:tc>
          <w:tcPr>
            <w:tcW w:w="542" w:type="pct"/>
            <w:vAlign w:val="bottom"/>
          </w:tcPr>
          <w:p w14:paraId="5FB23591" w14:textId="77777777" w:rsidR="00603ADE" w:rsidRPr="006C520E" w:rsidRDefault="00603ADE" w:rsidP="009A58A3">
            <w:pPr>
              <w:jc w:val="center"/>
              <w:rPr>
                <w:rFonts w:cs="Calibri"/>
                <w:szCs w:val="24"/>
              </w:rPr>
            </w:pPr>
            <w:r w:rsidRPr="006C520E">
              <w:rPr>
                <w:rFonts w:cs="Calibri"/>
                <w:szCs w:val="24"/>
              </w:rPr>
              <w:t>0.867</w:t>
            </w:r>
            <w:r w:rsidRPr="006C520E">
              <w:rPr>
                <w:rFonts w:eastAsia="Times New Roman" w:cs="Calibri"/>
                <w:szCs w:val="24"/>
                <w:vertAlign w:val="superscript"/>
              </w:rPr>
              <w:t>a</w:t>
            </w:r>
          </w:p>
        </w:tc>
        <w:tc>
          <w:tcPr>
            <w:tcW w:w="513" w:type="pct"/>
            <w:vAlign w:val="bottom"/>
          </w:tcPr>
          <w:p w14:paraId="52BDF848" w14:textId="77777777" w:rsidR="00603ADE" w:rsidRPr="006C520E" w:rsidRDefault="00603ADE" w:rsidP="009A58A3">
            <w:pPr>
              <w:jc w:val="center"/>
              <w:rPr>
                <w:rFonts w:eastAsia="Times New Roman" w:cs="Calibri"/>
                <w:szCs w:val="24"/>
              </w:rPr>
            </w:pPr>
            <w:r w:rsidRPr="006C520E">
              <w:rPr>
                <w:rFonts w:eastAsia="Times New Roman" w:cs="Calibri"/>
                <w:szCs w:val="24"/>
              </w:rPr>
              <w:t>-0.606</w:t>
            </w:r>
            <w:r w:rsidRPr="006C520E">
              <w:rPr>
                <w:rFonts w:eastAsia="Times New Roman" w:cs="Calibri"/>
                <w:szCs w:val="24"/>
                <w:vertAlign w:val="superscript"/>
              </w:rPr>
              <w:t>a</w:t>
            </w:r>
          </w:p>
        </w:tc>
        <w:tc>
          <w:tcPr>
            <w:tcW w:w="513" w:type="pct"/>
            <w:vAlign w:val="bottom"/>
          </w:tcPr>
          <w:p w14:paraId="5CEABE9E" w14:textId="77777777" w:rsidR="00603ADE" w:rsidRPr="006C520E" w:rsidRDefault="00603ADE" w:rsidP="009A58A3">
            <w:pPr>
              <w:jc w:val="center"/>
              <w:rPr>
                <w:rFonts w:eastAsia="Times New Roman" w:cs="Calibri"/>
                <w:szCs w:val="24"/>
              </w:rPr>
            </w:pPr>
            <w:r w:rsidRPr="006C520E">
              <w:rPr>
                <w:rFonts w:eastAsia="Times New Roman" w:cs="Calibri"/>
                <w:szCs w:val="24"/>
              </w:rPr>
              <w:t>-0.745</w:t>
            </w:r>
            <w:r w:rsidRPr="006C520E">
              <w:rPr>
                <w:rFonts w:eastAsia="Times New Roman" w:cs="Calibri"/>
                <w:szCs w:val="24"/>
                <w:vertAlign w:val="superscript"/>
              </w:rPr>
              <w:t>a</w:t>
            </w:r>
          </w:p>
        </w:tc>
        <w:tc>
          <w:tcPr>
            <w:tcW w:w="513" w:type="pct"/>
            <w:vAlign w:val="bottom"/>
          </w:tcPr>
          <w:p w14:paraId="349F92C8" w14:textId="77777777" w:rsidR="00603ADE" w:rsidRPr="006C520E" w:rsidRDefault="00603ADE" w:rsidP="009A58A3">
            <w:pPr>
              <w:jc w:val="center"/>
              <w:rPr>
                <w:rFonts w:eastAsia="Times New Roman" w:cs="Calibri"/>
                <w:szCs w:val="24"/>
              </w:rPr>
            </w:pPr>
            <w:r w:rsidRPr="006C520E">
              <w:rPr>
                <w:rFonts w:eastAsia="Times New Roman" w:cs="Calibri"/>
                <w:szCs w:val="24"/>
              </w:rPr>
              <w:t>-0.317</w:t>
            </w:r>
            <w:r w:rsidRPr="006C520E">
              <w:rPr>
                <w:rFonts w:eastAsia="Times New Roman" w:cs="Calibri"/>
                <w:szCs w:val="24"/>
                <w:vertAlign w:val="superscript"/>
              </w:rPr>
              <w:t>a</w:t>
            </w:r>
          </w:p>
        </w:tc>
        <w:tc>
          <w:tcPr>
            <w:tcW w:w="574" w:type="pct"/>
            <w:vAlign w:val="bottom"/>
          </w:tcPr>
          <w:p w14:paraId="68CEE542" w14:textId="77777777" w:rsidR="00603ADE" w:rsidRPr="006C520E" w:rsidRDefault="00603ADE" w:rsidP="009A58A3">
            <w:pPr>
              <w:jc w:val="center"/>
              <w:rPr>
                <w:rFonts w:eastAsia="Times New Roman" w:cs="Calibri"/>
                <w:szCs w:val="24"/>
                <w:vertAlign w:val="superscript"/>
              </w:rPr>
            </w:pPr>
            <w:r w:rsidRPr="006C520E">
              <w:rPr>
                <w:rFonts w:eastAsia="Times New Roman" w:cs="Calibri"/>
                <w:szCs w:val="24"/>
              </w:rPr>
              <w:t>0.789</w:t>
            </w:r>
            <w:r w:rsidRPr="006C520E">
              <w:rPr>
                <w:rFonts w:eastAsia="Times New Roman" w:cs="Calibri"/>
                <w:szCs w:val="24"/>
                <w:vertAlign w:val="superscript"/>
              </w:rPr>
              <w:t>a</w:t>
            </w:r>
          </w:p>
        </w:tc>
        <w:tc>
          <w:tcPr>
            <w:tcW w:w="517" w:type="pct"/>
            <w:vAlign w:val="center"/>
          </w:tcPr>
          <w:p w14:paraId="643E16AD" w14:textId="77777777" w:rsidR="00603ADE" w:rsidRPr="006C520E" w:rsidRDefault="00603ADE" w:rsidP="009A58A3">
            <w:pPr>
              <w:jc w:val="center"/>
            </w:pPr>
            <w:r w:rsidRPr="006C520E">
              <w:rPr>
                <w:rFonts w:eastAsiaTheme="minorEastAsia"/>
              </w:rPr>
              <w:t>1.000</w:t>
            </w:r>
          </w:p>
        </w:tc>
        <w:tc>
          <w:tcPr>
            <w:tcW w:w="513" w:type="pct"/>
            <w:vAlign w:val="center"/>
          </w:tcPr>
          <w:p w14:paraId="3CF8D4CC" w14:textId="77777777" w:rsidR="00603ADE" w:rsidRPr="006C520E" w:rsidRDefault="00603ADE" w:rsidP="009A58A3">
            <w:pPr>
              <w:jc w:val="center"/>
            </w:pPr>
          </w:p>
        </w:tc>
        <w:tc>
          <w:tcPr>
            <w:tcW w:w="478" w:type="pct"/>
          </w:tcPr>
          <w:p w14:paraId="310869CE" w14:textId="77777777" w:rsidR="00603ADE" w:rsidRPr="006C520E" w:rsidRDefault="00603ADE" w:rsidP="009A58A3">
            <w:pPr>
              <w:jc w:val="center"/>
            </w:pPr>
          </w:p>
        </w:tc>
        <w:tc>
          <w:tcPr>
            <w:tcW w:w="444" w:type="pct"/>
          </w:tcPr>
          <w:p w14:paraId="2ACFD98E" w14:textId="77777777" w:rsidR="00603ADE" w:rsidRPr="006C520E" w:rsidRDefault="00603ADE" w:rsidP="009A58A3">
            <w:pPr>
              <w:jc w:val="center"/>
            </w:pPr>
          </w:p>
        </w:tc>
      </w:tr>
      <w:tr w:rsidR="00603ADE" w:rsidRPr="006C520E" w14:paraId="169CF6B2" w14:textId="77777777" w:rsidTr="009A58A3">
        <w:tc>
          <w:tcPr>
            <w:tcW w:w="394" w:type="pct"/>
            <w:vAlign w:val="center"/>
          </w:tcPr>
          <w:p w14:paraId="7DA492B7" w14:textId="77777777" w:rsidR="00603ADE" w:rsidRPr="006C520E" w:rsidRDefault="00603ADE" w:rsidP="009A58A3">
            <w:pPr>
              <w:jc w:val="left"/>
            </w:pPr>
            <m:oMathPara>
              <m:oMathParaPr>
                <m:jc m:val="left"/>
              </m:oMathParaPr>
              <m:oMath>
                <m:r>
                  <w:rPr>
                    <w:rFonts w:ascii="Cambria Math" w:hAnsi="Cambria Math"/>
                  </w:rPr>
                  <m:t>elec</m:t>
                </m:r>
              </m:oMath>
            </m:oMathPara>
          </w:p>
        </w:tc>
        <w:tc>
          <w:tcPr>
            <w:tcW w:w="542" w:type="pct"/>
            <w:vAlign w:val="bottom"/>
          </w:tcPr>
          <w:p w14:paraId="2D9D7CD5" w14:textId="77777777" w:rsidR="00603ADE" w:rsidRPr="006C520E" w:rsidRDefault="00603ADE" w:rsidP="009A58A3">
            <w:pPr>
              <w:jc w:val="center"/>
              <w:rPr>
                <w:rFonts w:cs="Calibri"/>
                <w:szCs w:val="24"/>
              </w:rPr>
            </w:pPr>
            <w:r w:rsidRPr="006C520E">
              <w:rPr>
                <w:rFonts w:cs="Calibri"/>
                <w:szCs w:val="24"/>
              </w:rPr>
              <w:t>0.916</w:t>
            </w:r>
            <w:r w:rsidRPr="006C520E">
              <w:rPr>
                <w:rFonts w:eastAsia="Times New Roman" w:cs="Calibri"/>
                <w:szCs w:val="24"/>
                <w:vertAlign w:val="superscript"/>
              </w:rPr>
              <w:t>a</w:t>
            </w:r>
          </w:p>
        </w:tc>
        <w:tc>
          <w:tcPr>
            <w:tcW w:w="513" w:type="pct"/>
            <w:vAlign w:val="bottom"/>
          </w:tcPr>
          <w:p w14:paraId="0DCAB5A6" w14:textId="77777777" w:rsidR="00603ADE" w:rsidRPr="006C520E" w:rsidRDefault="00603ADE" w:rsidP="009A58A3">
            <w:pPr>
              <w:jc w:val="center"/>
              <w:rPr>
                <w:rFonts w:eastAsia="Times New Roman" w:cs="Calibri"/>
                <w:szCs w:val="24"/>
              </w:rPr>
            </w:pPr>
            <w:r w:rsidRPr="006C520E">
              <w:rPr>
                <w:rFonts w:eastAsia="Times New Roman" w:cs="Calibri"/>
                <w:szCs w:val="24"/>
              </w:rPr>
              <w:t>-0.522</w:t>
            </w:r>
            <w:r w:rsidRPr="006C520E">
              <w:rPr>
                <w:rFonts w:eastAsia="Times New Roman" w:cs="Calibri"/>
                <w:szCs w:val="24"/>
                <w:vertAlign w:val="superscript"/>
              </w:rPr>
              <w:t>a</w:t>
            </w:r>
          </w:p>
        </w:tc>
        <w:tc>
          <w:tcPr>
            <w:tcW w:w="513" w:type="pct"/>
            <w:vAlign w:val="bottom"/>
          </w:tcPr>
          <w:p w14:paraId="34A7529C" w14:textId="77777777" w:rsidR="00603ADE" w:rsidRPr="006C520E" w:rsidRDefault="00603ADE" w:rsidP="009A58A3">
            <w:pPr>
              <w:jc w:val="center"/>
              <w:rPr>
                <w:rFonts w:eastAsia="Times New Roman" w:cs="Calibri"/>
                <w:szCs w:val="24"/>
              </w:rPr>
            </w:pPr>
            <w:r w:rsidRPr="006C520E">
              <w:rPr>
                <w:rFonts w:eastAsia="Times New Roman" w:cs="Calibri"/>
                <w:szCs w:val="24"/>
              </w:rPr>
              <w:t>-0.820</w:t>
            </w:r>
            <w:r w:rsidRPr="006C520E">
              <w:rPr>
                <w:rFonts w:eastAsia="Times New Roman" w:cs="Calibri"/>
                <w:szCs w:val="24"/>
                <w:vertAlign w:val="superscript"/>
              </w:rPr>
              <w:t>a</w:t>
            </w:r>
          </w:p>
        </w:tc>
        <w:tc>
          <w:tcPr>
            <w:tcW w:w="513" w:type="pct"/>
            <w:vAlign w:val="bottom"/>
          </w:tcPr>
          <w:p w14:paraId="1218F215" w14:textId="77777777" w:rsidR="00603ADE" w:rsidRPr="006C520E" w:rsidRDefault="00603ADE" w:rsidP="009A58A3">
            <w:pPr>
              <w:jc w:val="center"/>
              <w:rPr>
                <w:rFonts w:eastAsia="Times New Roman" w:cs="Calibri"/>
                <w:szCs w:val="24"/>
              </w:rPr>
            </w:pPr>
            <w:r w:rsidRPr="006C520E">
              <w:rPr>
                <w:rFonts w:eastAsia="Times New Roman" w:cs="Calibri"/>
                <w:szCs w:val="24"/>
              </w:rPr>
              <w:t>-0.573</w:t>
            </w:r>
            <w:r w:rsidRPr="006C520E">
              <w:rPr>
                <w:rFonts w:eastAsia="Times New Roman" w:cs="Calibri"/>
                <w:szCs w:val="24"/>
                <w:vertAlign w:val="superscript"/>
              </w:rPr>
              <w:t>a</w:t>
            </w:r>
          </w:p>
        </w:tc>
        <w:tc>
          <w:tcPr>
            <w:tcW w:w="574" w:type="pct"/>
            <w:vAlign w:val="bottom"/>
          </w:tcPr>
          <w:p w14:paraId="620BC713" w14:textId="77777777" w:rsidR="00603ADE" w:rsidRPr="006C520E" w:rsidRDefault="00603ADE" w:rsidP="009A58A3">
            <w:pPr>
              <w:jc w:val="center"/>
              <w:rPr>
                <w:rFonts w:eastAsia="Times New Roman" w:cs="Calibri"/>
                <w:szCs w:val="24"/>
              </w:rPr>
            </w:pPr>
            <w:r w:rsidRPr="006C520E">
              <w:rPr>
                <w:rFonts w:eastAsia="Times New Roman" w:cs="Calibri"/>
                <w:szCs w:val="24"/>
              </w:rPr>
              <w:t>0.649</w:t>
            </w:r>
            <w:r w:rsidRPr="006C520E">
              <w:rPr>
                <w:rFonts w:eastAsia="Times New Roman" w:cs="Calibri"/>
                <w:szCs w:val="24"/>
                <w:vertAlign w:val="superscript"/>
              </w:rPr>
              <w:t>a</w:t>
            </w:r>
          </w:p>
        </w:tc>
        <w:tc>
          <w:tcPr>
            <w:tcW w:w="517" w:type="pct"/>
            <w:vAlign w:val="bottom"/>
          </w:tcPr>
          <w:p w14:paraId="78E10D9F" w14:textId="77777777" w:rsidR="00603ADE" w:rsidRPr="006C520E" w:rsidRDefault="00603ADE" w:rsidP="009A58A3">
            <w:pPr>
              <w:jc w:val="center"/>
              <w:rPr>
                <w:rFonts w:eastAsia="Times New Roman" w:cs="Calibri"/>
                <w:b/>
                <w:szCs w:val="24"/>
                <w:vertAlign w:val="superscript"/>
              </w:rPr>
            </w:pPr>
            <w:r w:rsidRPr="006C520E">
              <w:rPr>
                <w:rFonts w:eastAsia="Times New Roman" w:cs="Calibri"/>
                <w:szCs w:val="24"/>
              </w:rPr>
              <w:t>0.869</w:t>
            </w:r>
            <w:r w:rsidRPr="006C520E">
              <w:rPr>
                <w:rFonts w:eastAsia="Times New Roman" w:cs="Calibri"/>
                <w:szCs w:val="24"/>
                <w:vertAlign w:val="superscript"/>
              </w:rPr>
              <w:t>a</w:t>
            </w:r>
          </w:p>
        </w:tc>
        <w:tc>
          <w:tcPr>
            <w:tcW w:w="513" w:type="pct"/>
            <w:vAlign w:val="center"/>
          </w:tcPr>
          <w:p w14:paraId="6CD49847" w14:textId="77777777" w:rsidR="00603ADE" w:rsidRPr="006C520E" w:rsidRDefault="00603ADE" w:rsidP="009A58A3">
            <w:pPr>
              <w:jc w:val="center"/>
            </w:pPr>
            <w:r w:rsidRPr="006C520E">
              <w:rPr>
                <w:rFonts w:eastAsiaTheme="minorEastAsia"/>
              </w:rPr>
              <w:t>1.000</w:t>
            </w:r>
          </w:p>
        </w:tc>
        <w:tc>
          <w:tcPr>
            <w:tcW w:w="478" w:type="pct"/>
          </w:tcPr>
          <w:p w14:paraId="32E2BE06" w14:textId="77777777" w:rsidR="00603ADE" w:rsidRPr="006C520E" w:rsidRDefault="00603ADE" w:rsidP="009A58A3">
            <w:pPr>
              <w:jc w:val="center"/>
              <w:rPr>
                <w:rFonts w:eastAsiaTheme="minorEastAsia"/>
              </w:rPr>
            </w:pPr>
          </w:p>
        </w:tc>
        <w:tc>
          <w:tcPr>
            <w:tcW w:w="444" w:type="pct"/>
          </w:tcPr>
          <w:p w14:paraId="3FA0CB1D" w14:textId="77777777" w:rsidR="00603ADE" w:rsidRPr="006C520E" w:rsidRDefault="00603ADE" w:rsidP="009A58A3">
            <w:pPr>
              <w:jc w:val="center"/>
              <w:rPr>
                <w:rFonts w:eastAsiaTheme="minorEastAsia"/>
              </w:rPr>
            </w:pPr>
          </w:p>
        </w:tc>
      </w:tr>
      <w:tr w:rsidR="00603ADE" w:rsidRPr="006C520E" w14:paraId="06438B7F" w14:textId="77777777" w:rsidTr="009A58A3">
        <w:tc>
          <w:tcPr>
            <w:tcW w:w="394" w:type="pct"/>
            <w:vAlign w:val="center"/>
          </w:tcPr>
          <w:p w14:paraId="1EB0D85E" w14:textId="77777777" w:rsidR="00603ADE" w:rsidRPr="006C520E" w:rsidRDefault="00603ADE" w:rsidP="009A58A3">
            <w:pPr>
              <w:jc w:val="left"/>
              <w:rPr>
                <w:rFonts w:eastAsia="Calibri" w:cs="Times New Roman"/>
              </w:rPr>
            </w:pPr>
            <m:oMathPara>
              <m:oMath>
                <m:r>
                  <w:rPr>
                    <w:rFonts w:ascii="Cambria Math" w:hAnsi="Cambria Math"/>
                  </w:rPr>
                  <m:t>fbal</m:t>
                </m:r>
              </m:oMath>
            </m:oMathPara>
          </w:p>
        </w:tc>
        <w:tc>
          <w:tcPr>
            <w:tcW w:w="542" w:type="pct"/>
            <w:vAlign w:val="bottom"/>
          </w:tcPr>
          <w:p w14:paraId="01694F7D" w14:textId="77777777" w:rsidR="00603ADE" w:rsidRPr="006C520E" w:rsidRDefault="00603ADE" w:rsidP="009A58A3">
            <w:pPr>
              <w:jc w:val="center"/>
              <w:rPr>
                <w:rFonts w:cs="Calibri"/>
                <w:szCs w:val="24"/>
                <w:vertAlign w:val="superscript"/>
              </w:rPr>
            </w:pPr>
            <w:r w:rsidRPr="006C520E">
              <w:rPr>
                <w:rFonts w:cs="Calibri"/>
                <w:szCs w:val="24"/>
              </w:rPr>
              <w:t>-0.329</w:t>
            </w:r>
            <w:r w:rsidRPr="006C520E">
              <w:rPr>
                <w:rFonts w:cs="Calibri"/>
                <w:szCs w:val="24"/>
                <w:vertAlign w:val="superscript"/>
              </w:rPr>
              <w:t>b</w:t>
            </w:r>
          </w:p>
        </w:tc>
        <w:tc>
          <w:tcPr>
            <w:tcW w:w="513" w:type="pct"/>
            <w:vAlign w:val="bottom"/>
          </w:tcPr>
          <w:p w14:paraId="401B30DF" w14:textId="77777777" w:rsidR="00603ADE" w:rsidRPr="006C520E" w:rsidRDefault="00603ADE" w:rsidP="009A58A3">
            <w:pPr>
              <w:jc w:val="center"/>
              <w:rPr>
                <w:rFonts w:eastAsia="Times New Roman" w:cs="Calibri"/>
                <w:szCs w:val="24"/>
              </w:rPr>
            </w:pPr>
            <w:r w:rsidRPr="006C520E">
              <w:rPr>
                <w:rFonts w:eastAsia="Times New Roman" w:cs="Calibri"/>
                <w:szCs w:val="24"/>
              </w:rPr>
              <w:t>0.658</w:t>
            </w:r>
            <w:r w:rsidRPr="006C520E">
              <w:rPr>
                <w:rFonts w:cs="Calibri"/>
                <w:szCs w:val="24"/>
                <w:vertAlign w:val="superscript"/>
              </w:rPr>
              <w:t>a</w:t>
            </w:r>
          </w:p>
        </w:tc>
        <w:tc>
          <w:tcPr>
            <w:tcW w:w="513" w:type="pct"/>
            <w:vAlign w:val="bottom"/>
          </w:tcPr>
          <w:p w14:paraId="6E2EB945" w14:textId="77777777" w:rsidR="00603ADE" w:rsidRPr="006C520E" w:rsidRDefault="00603ADE" w:rsidP="009A58A3">
            <w:pPr>
              <w:jc w:val="center"/>
              <w:rPr>
                <w:rFonts w:eastAsia="Times New Roman" w:cs="Calibri"/>
                <w:szCs w:val="24"/>
              </w:rPr>
            </w:pPr>
            <w:r w:rsidRPr="006C520E">
              <w:rPr>
                <w:rFonts w:eastAsia="Times New Roman" w:cs="Calibri"/>
                <w:szCs w:val="24"/>
              </w:rPr>
              <w:t>0.211</w:t>
            </w:r>
            <w:r w:rsidRPr="006C520E">
              <w:rPr>
                <w:rFonts w:cs="Calibri"/>
                <w:szCs w:val="24"/>
                <w:vertAlign w:val="superscript"/>
              </w:rPr>
              <w:t>a</w:t>
            </w:r>
          </w:p>
        </w:tc>
        <w:tc>
          <w:tcPr>
            <w:tcW w:w="513" w:type="pct"/>
            <w:vAlign w:val="bottom"/>
          </w:tcPr>
          <w:p w14:paraId="118684B4" w14:textId="77777777" w:rsidR="00603ADE" w:rsidRPr="006C520E" w:rsidRDefault="00603ADE" w:rsidP="009A58A3">
            <w:pPr>
              <w:jc w:val="center"/>
              <w:rPr>
                <w:rFonts w:eastAsia="Times New Roman" w:cs="Calibri"/>
                <w:szCs w:val="24"/>
              </w:rPr>
            </w:pPr>
            <w:r w:rsidRPr="006C520E">
              <w:rPr>
                <w:rFonts w:eastAsia="Times New Roman" w:cs="Calibri"/>
                <w:szCs w:val="24"/>
              </w:rPr>
              <w:t>-0.151</w:t>
            </w:r>
            <w:r w:rsidRPr="006C520E">
              <w:rPr>
                <w:rFonts w:cs="Calibri"/>
                <w:szCs w:val="24"/>
                <w:vertAlign w:val="superscript"/>
              </w:rPr>
              <w:t>a</w:t>
            </w:r>
          </w:p>
        </w:tc>
        <w:tc>
          <w:tcPr>
            <w:tcW w:w="574" w:type="pct"/>
            <w:vAlign w:val="bottom"/>
          </w:tcPr>
          <w:p w14:paraId="709DB1F3" w14:textId="77777777" w:rsidR="00603ADE" w:rsidRPr="006C520E" w:rsidRDefault="00603ADE" w:rsidP="009A58A3">
            <w:pPr>
              <w:jc w:val="center"/>
              <w:rPr>
                <w:rFonts w:eastAsia="Times New Roman" w:cs="Calibri"/>
                <w:szCs w:val="24"/>
              </w:rPr>
            </w:pPr>
            <w:r w:rsidRPr="006C520E">
              <w:rPr>
                <w:rFonts w:eastAsia="Times New Roman" w:cs="Calibri"/>
                <w:szCs w:val="24"/>
              </w:rPr>
              <w:t>-0.360</w:t>
            </w:r>
            <w:r w:rsidRPr="006C520E">
              <w:rPr>
                <w:rFonts w:cs="Calibri"/>
                <w:szCs w:val="24"/>
                <w:vertAlign w:val="superscript"/>
              </w:rPr>
              <w:t>a</w:t>
            </w:r>
          </w:p>
        </w:tc>
        <w:tc>
          <w:tcPr>
            <w:tcW w:w="517" w:type="pct"/>
            <w:vAlign w:val="bottom"/>
          </w:tcPr>
          <w:p w14:paraId="6CC098D5" w14:textId="77777777" w:rsidR="00603ADE" w:rsidRPr="006C520E" w:rsidRDefault="00603ADE" w:rsidP="009A58A3">
            <w:pPr>
              <w:jc w:val="center"/>
              <w:rPr>
                <w:rFonts w:eastAsia="Times New Roman" w:cs="Calibri"/>
                <w:szCs w:val="24"/>
              </w:rPr>
            </w:pPr>
            <w:r w:rsidRPr="006C520E">
              <w:rPr>
                <w:rFonts w:eastAsia="Times New Roman" w:cs="Calibri"/>
                <w:szCs w:val="24"/>
              </w:rPr>
              <w:t>-0.403</w:t>
            </w:r>
            <w:r w:rsidRPr="006C520E">
              <w:rPr>
                <w:rFonts w:cs="Calibri"/>
                <w:szCs w:val="24"/>
                <w:vertAlign w:val="superscript"/>
              </w:rPr>
              <w:t>a</w:t>
            </w:r>
          </w:p>
        </w:tc>
        <w:tc>
          <w:tcPr>
            <w:tcW w:w="513" w:type="pct"/>
            <w:vAlign w:val="center"/>
          </w:tcPr>
          <w:p w14:paraId="33B41067" w14:textId="77777777" w:rsidR="00603ADE" w:rsidRPr="006C520E" w:rsidRDefault="00603ADE" w:rsidP="009A58A3">
            <w:pPr>
              <w:jc w:val="center"/>
              <w:rPr>
                <w:rFonts w:eastAsiaTheme="minorEastAsia"/>
                <w:vertAlign w:val="superscript"/>
              </w:rPr>
            </w:pPr>
            <w:r w:rsidRPr="006C520E">
              <w:rPr>
                <w:rFonts w:eastAsiaTheme="minorEastAsia"/>
              </w:rPr>
              <w:t>-0.291</w:t>
            </w:r>
            <w:r w:rsidRPr="006C520E">
              <w:rPr>
                <w:rFonts w:cs="Calibri"/>
                <w:szCs w:val="24"/>
                <w:vertAlign w:val="superscript"/>
              </w:rPr>
              <w:t>a</w:t>
            </w:r>
          </w:p>
        </w:tc>
        <w:tc>
          <w:tcPr>
            <w:tcW w:w="478" w:type="pct"/>
          </w:tcPr>
          <w:p w14:paraId="1DE5FDFC" w14:textId="77777777" w:rsidR="00603ADE" w:rsidRPr="006C520E" w:rsidRDefault="00603ADE" w:rsidP="009A58A3">
            <w:pPr>
              <w:jc w:val="center"/>
              <w:rPr>
                <w:rFonts w:eastAsiaTheme="minorEastAsia"/>
              </w:rPr>
            </w:pPr>
            <w:r w:rsidRPr="006C520E">
              <w:rPr>
                <w:rFonts w:eastAsiaTheme="minorEastAsia"/>
              </w:rPr>
              <w:t>1.000</w:t>
            </w:r>
          </w:p>
        </w:tc>
        <w:tc>
          <w:tcPr>
            <w:tcW w:w="444" w:type="pct"/>
          </w:tcPr>
          <w:p w14:paraId="1B4D79BA" w14:textId="77777777" w:rsidR="00603ADE" w:rsidRPr="006C520E" w:rsidRDefault="00603ADE" w:rsidP="009A58A3">
            <w:pPr>
              <w:jc w:val="center"/>
              <w:rPr>
                <w:rFonts w:eastAsiaTheme="minorEastAsia"/>
              </w:rPr>
            </w:pPr>
          </w:p>
        </w:tc>
      </w:tr>
      <w:tr w:rsidR="00603ADE" w:rsidRPr="006C520E" w14:paraId="458CB6CC" w14:textId="77777777" w:rsidTr="009A58A3">
        <w:tc>
          <w:tcPr>
            <w:tcW w:w="394" w:type="pct"/>
            <w:tcBorders>
              <w:bottom w:val="single" w:sz="4" w:space="0" w:color="auto"/>
            </w:tcBorders>
            <w:vAlign w:val="center"/>
          </w:tcPr>
          <w:p w14:paraId="684B4015" w14:textId="77777777" w:rsidR="00603ADE" w:rsidRPr="006C520E" w:rsidRDefault="00603ADE" w:rsidP="009A58A3">
            <w:pPr>
              <w:jc w:val="left"/>
              <w:rPr>
                <w:rFonts w:eastAsia="Calibri" w:cs="Times New Roman"/>
              </w:rPr>
            </w:pPr>
            <m:oMathPara>
              <m:oMath>
                <m:r>
                  <w:rPr>
                    <w:rFonts w:ascii="Cambria Math" w:hAnsi="Cambria Math"/>
                  </w:rPr>
                  <m:t>p</m:t>
                </m:r>
              </m:oMath>
            </m:oMathPara>
          </w:p>
        </w:tc>
        <w:tc>
          <w:tcPr>
            <w:tcW w:w="542" w:type="pct"/>
            <w:tcBorders>
              <w:bottom w:val="single" w:sz="4" w:space="0" w:color="auto"/>
            </w:tcBorders>
            <w:vAlign w:val="bottom"/>
          </w:tcPr>
          <w:p w14:paraId="29E64145" w14:textId="77777777" w:rsidR="00603ADE" w:rsidRPr="006C520E" w:rsidRDefault="00603ADE" w:rsidP="009A58A3">
            <w:pPr>
              <w:jc w:val="center"/>
              <w:rPr>
                <w:rFonts w:cs="Calibri"/>
                <w:szCs w:val="24"/>
                <w:vertAlign w:val="superscript"/>
              </w:rPr>
            </w:pPr>
            <w:r w:rsidRPr="006C520E">
              <w:rPr>
                <w:rFonts w:cs="Calibri"/>
                <w:szCs w:val="24"/>
              </w:rPr>
              <w:t>-0.308</w:t>
            </w:r>
            <w:r w:rsidRPr="006C520E">
              <w:rPr>
                <w:rFonts w:cs="Calibri"/>
                <w:szCs w:val="24"/>
                <w:vertAlign w:val="superscript"/>
              </w:rPr>
              <w:t>a</w:t>
            </w:r>
          </w:p>
        </w:tc>
        <w:tc>
          <w:tcPr>
            <w:tcW w:w="513" w:type="pct"/>
            <w:tcBorders>
              <w:bottom w:val="single" w:sz="4" w:space="0" w:color="auto"/>
            </w:tcBorders>
            <w:vAlign w:val="bottom"/>
          </w:tcPr>
          <w:p w14:paraId="0162AD2A" w14:textId="77777777" w:rsidR="00603ADE" w:rsidRPr="006C520E" w:rsidRDefault="00603ADE" w:rsidP="009A58A3">
            <w:pPr>
              <w:jc w:val="center"/>
              <w:rPr>
                <w:rFonts w:eastAsia="Times New Roman" w:cs="Calibri"/>
                <w:szCs w:val="24"/>
              </w:rPr>
            </w:pPr>
            <w:r w:rsidRPr="006C520E">
              <w:rPr>
                <w:rFonts w:eastAsia="Times New Roman" w:cs="Calibri"/>
                <w:szCs w:val="24"/>
              </w:rPr>
              <w:t>0.063</w:t>
            </w:r>
          </w:p>
        </w:tc>
        <w:tc>
          <w:tcPr>
            <w:tcW w:w="513" w:type="pct"/>
            <w:tcBorders>
              <w:bottom w:val="single" w:sz="4" w:space="0" w:color="auto"/>
            </w:tcBorders>
            <w:vAlign w:val="bottom"/>
          </w:tcPr>
          <w:p w14:paraId="4199E778" w14:textId="77777777" w:rsidR="00603ADE" w:rsidRPr="006C520E" w:rsidRDefault="00603ADE" w:rsidP="009A58A3">
            <w:pPr>
              <w:jc w:val="center"/>
              <w:rPr>
                <w:rFonts w:eastAsia="Times New Roman" w:cs="Calibri"/>
                <w:szCs w:val="24"/>
              </w:rPr>
            </w:pPr>
            <w:r w:rsidRPr="006C520E">
              <w:rPr>
                <w:rFonts w:eastAsia="Times New Roman" w:cs="Calibri"/>
                <w:szCs w:val="24"/>
              </w:rPr>
              <w:t>0.347</w:t>
            </w:r>
            <w:r w:rsidRPr="006C520E">
              <w:rPr>
                <w:rFonts w:cs="Calibri"/>
                <w:szCs w:val="24"/>
                <w:vertAlign w:val="superscript"/>
              </w:rPr>
              <w:t>a</w:t>
            </w:r>
          </w:p>
        </w:tc>
        <w:tc>
          <w:tcPr>
            <w:tcW w:w="513" w:type="pct"/>
            <w:tcBorders>
              <w:bottom w:val="single" w:sz="4" w:space="0" w:color="auto"/>
            </w:tcBorders>
            <w:vAlign w:val="bottom"/>
          </w:tcPr>
          <w:p w14:paraId="4851BDD0" w14:textId="77777777" w:rsidR="00603ADE" w:rsidRPr="006C520E" w:rsidRDefault="00603ADE" w:rsidP="009A58A3">
            <w:pPr>
              <w:jc w:val="center"/>
              <w:rPr>
                <w:rFonts w:eastAsia="Times New Roman" w:cs="Calibri"/>
                <w:szCs w:val="24"/>
              </w:rPr>
            </w:pPr>
            <w:r w:rsidRPr="006C520E">
              <w:rPr>
                <w:rFonts w:eastAsia="Times New Roman" w:cs="Calibri"/>
                <w:szCs w:val="24"/>
              </w:rPr>
              <w:t>0.316</w:t>
            </w:r>
            <w:r w:rsidRPr="006C520E">
              <w:rPr>
                <w:rFonts w:cs="Calibri"/>
                <w:szCs w:val="24"/>
                <w:vertAlign w:val="superscript"/>
              </w:rPr>
              <w:t>a</w:t>
            </w:r>
          </w:p>
        </w:tc>
        <w:tc>
          <w:tcPr>
            <w:tcW w:w="574" w:type="pct"/>
            <w:tcBorders>
              <w:bottom w:val="single" w:sz="4" w:space="0" w:color="auto"/>
            </w:tcBorders>
            <w:vAlign w:val="bottom"/>
          </w:tcPr>
          <w:p w14:paraId="02EBA3FE" w14:textId="77777777" w:rsidR="00603ADE" w:rsidRPr="006C520E" w:rsidRDefault="00603ADE" w:rsidP="009A58A3">
            <w:pPr>
              <w:jc w:val="center"/>
              <w:rPr>
                <w:rFonts w:eastAsia="Times New Roman" w:cs="Calibri"/>
                <w:szCs w:val="24"/>
              </w:rPr>
            </w:pPr>
            <w:r w:rsidRPr="006C520E">
              <w:rPr>
                <w:rFonts w:eastAsia="Times New Roman" w:cs="Calibri"/>
                <w:szCs w:val="24"/>
              </w:rPr>
              <w:t>-0.283</w:t>
            </w:r>
            <w:r w:rsidRPr="006C520E">
              <w:rPr>
                <w:rFonts w:cs="Calibri"/>
                <w:szCs w:val="24"/>
                <w:vertAlign w:val="superscript"/>
              </w:rPr>
              <w:t>a</w:t>
            </w:r>
          </w:p>
        </w:tc>
        <w:tc>
          <w:tcPr>
            <w:tcW w:w="517" w:type="pct"/>
            <w:tcBorders>
              <w:bottom w:val="single" w:sz="4" w:space="0" w:color="auto"/>
            </w:tcBorders>
            <w:vAlign w:val="bottom"/>
          </w:tcPr>
          <w:p w14:paraId="24FEE911" w14:textId="77777777" w:rsidR="00603ADE" w:rsidRPr="006C520E" w:rsidRDefault="00603ADE" w:rsidP="009A58A3">
            <w:pPr>
              <w:jc w:val="center"/>
              <w:rPr>
                <w:rFonts w:eastAsia="Times New Roman" w:cs="Calibri"/>
                <w:szCs w:val="24"/>
              </w:rPr>
            </w:pPr>
            <w:r w:rsidRPr="006C520E">
              <w:rPr>
                <w:rFonts w:eastAsia="Times New Roman" w:cs="Calibri"/>
                <w:szCs w:val="24"/>
              </w:rPr>
              <w:t>-0.22</w:t>
            </w:r>
            <w:r w:rsidRPr="006C520E">
              <w:rPr>
                <w:rFonts w:eastAsia="Times New Roman" w:cs="Calibri"/>
                <w:szCs w:val="24"/>
                <w:vertAlign w:val="superscript"/>
              </w:rPr>
              <w:t>b</w:t>
            </w:r>
          </w:p>
        </w:tc>
        <w:tc>
          <w:tcPr>
            <w:tcW w:w="513" w:type="pct"/>
            <w:tcBorders>
              <w:bottom w:val="single" w:sz="4" w:space="0" w:color="auto"/>
            </w:tcBorders>
            <w:vAlign w:val="center"/>
          </w:tcPr>
          <w:p w14:paraId="624007F1" w14:textId="77777777" w:rsidR="00603ADE" w:rsidRPr="006C520E" w:rsidRDefault="00603ADE" w:rsidP="009A58A3">
            <w:pPr>
              <w:jc w:val="center"/>
              <w:rPr>
                <w:rFonts w:eastAsiaTheme="minorEastAsia"/>
              </w:rPr>
            </w:pPr>
            <w:r w:rsidRPr="006C520E">
              <w:rPr>
                <w:rFonts w:eastAsiaTheme="minorEastAsia"/>
              </w:rPr>
              <w:t>-0.279</w:t>
            </w:r>
            <w:r w:rsidRPr="006C520E">
              <w:rPr>
                <w:rFonts w:cs="Calibri"/>
                <w:szCs w:val="24"/>
                <w:vertAlign w:val="superscript"/>
              </w:rPr>
              <w:t>a</w:t>
            </w:r>
          </w:p>
        </w:tc>
        <w:tc>
          <w:tcPr>
            <w:tcW w:w="478" w:type="pct"/>
            <w:tcBorders>
              <w:bottom w:val="single" w:sz="4" w:space="0" w:color="auto"/>
            </w:tcBorders>
          </w:tcPr>
          <w:p w14:paraId="4D7DA66E" w14:textId="77777777" w:rsidR="00603ADE" w:rsidRPr="006C520E" w:rsidRDefault="00603ADE" w:rsidP="009A58A3">
            <w:pPr>
              <w:jc w:val="center"/>
              <w:rPr>
                <w:rFonts w:eastAsiaTheme="minorEastAsia"/>
              </w:rPr>
            </w:pPr>
            <w:r w:rsidRPr="006C520E">
              <w:rPr>
                <w:rFonts w:eastAsiaTheme="minorEastAsia"/>
              </w:rPr>
              <w:t>-0.081</w:t>
            </w:r>
          </w:p>
        </w:tc>
        <w:tc>
          <w:tcPr>
            <w:tcW w:w="444" w:type="pct"/>
            <w:tcBorders>
              <w:bottom w:val="single" w:sz="4" w:space="0" w:color="auto"/>
            </w:tcBorders>
          </w:tcPr>
          <w:p w14:paraId="6866A9CB" w14:textId="77777777" w:rsidR="00603ADE" w:rsidRPr="006C520E" w:rsidRDefault="00603ADE" w:rsidP="009A58A3">
            <w:pPr>
              <w:jc w:val="center"/>
              <w:rPr>
                <w:rFonts w:eastAsiaTheme="minorEastAsia"/>
              </w:rPr>
            </w:pPr>
            <w:r w:rsidRPr="006C520E">
              <w:rPr>
                <w:rFonts w:eastAsiaTheme="minorEastAsia"/>
              </w:rPr>
              <w:t>1.00</w:t>
            </w:r>
          </w:p>
        </w:tc>
      </w:tr>
    </w:tbl>
    <w:p w14:paraId="424D9916" w14:textId="77777777" w:rsidR="00603ADE" w:rsidRPr="006C520E" w:rsidRDefault="00603ADE" w:rsidP="00603ADE">
      <w:pPr>
        <w:spacing w:after="0"/>
        <w:rPr>
          <w:rFonts w:eastAsiaTheme="minorEastAsia"/>
          <w:sz w:val="20"/>
          <w:szCs w:val="20"/>
        </w:rPr>
      </w:pPr>
      <w:r w:rsidRPr="006C520E">
        <w:rPr>
          <w:b/>
          <w:sz w:val="20"/>
          <w:szCs w:val="20"/>
        </w:rPr>
        <w:t>Notes:</w:t>
      </w:r>
      <w:r w:rsidRPr="006C520E">
        <w:rPr>
          <w:sz w:val="20"/>
          <w:szCs w:val="20"/>
        </w:rPr>
        <w:t xml:space="preserve"> (</w:t>
      </w:r>
      <w:r w:rsidRPr="006C520E">
        <w:rPr>
          <w:sz w:val="20"/>
          <w:szCs w:val="20"/>
          <w:vertAlign w:val="superscript"/>
        </w:rPr>
        <w:t>a</w:t>
      </w:r>
      <w:r w:rsidRPr="006C520E">
        <w:rPr>
          <w:sz w:val="20"/>
          <w:szCs w:val="20"/>
        </w:rPr>
        <w:t>) and (</w:t>
      </w:r>
      <w:r w:rsidRPr="006C520E">
        <w:rPr>
          <w:sz w:val="20"/>
          <w:szCs w:val="20"/>
          <w:vertAlign w:val="superscript"/>
        </w:rPr>
        <w:t>b</w:t>
      </w:r>
      <w:r w:rsidRPr="006C520E">
        <w:rPr>
          <w:sz w:val="20"/>
          <w:szCs w:val="20"/>
        </w:rPr>
        <w:t xml:space="preserve">) denotes statistical significance at 1% and 5% levels, respectively. </w:t>
      </w:r>
      <m:oMath>
        <m:r>
          <w:rPr>
            <w:rFonts w:ascii="Cambria Math" w:hAnsi="Cambria Math"/>
            <w:sz w:val="20"/>
            <w:szCs w:val="20"/>
            <w:lang w:bidi="en-US"/>
          </w:rPr>
          <m:t>y</m:t>
        </m:r>
      </m:oMath>
      <w:r w:rsidRPr="006C520E">
        <w:rPr>
          <w:rFonts w:eastAsiaTheme="minorEastAsia"/>
          <w:sz w:val="20"/>
          <w:szCs w:val="20"/>
          <w:lang w:bidi="en-US"/>
        </w:rPr>
        <w:t xml:space="preserve"> </w:t>
      </w:r>
      <w:r w:rsidRPr="006C520E">
        <w:rPr>
          <w:sz w:val="20"/>
          <w:szCs w:val="20"/>
        </w:rPr>
        <w:t xml:space="preserve">= log of real GDP; </w:t>
      </w:r>
      <m:oMath>
        <m:r>
          <w:rPr>
            <w:rFonts w:ascii="Cambria Math" w:hAnsi="Cambria Math"/>
            <w:sz w:val="20"/>
            <w:szCs w:val="20"/>
          </w:rPr>
          <m:t xml:space="preserve">oil </m:t>
        </m:r>
      </m:oMath>
      <w:r w:rsidRPr="006C520E">
        <w:rPr>
          <w:sz w:val="20"/>
          <w:szCs w:val="20"/>
        </w:rPr>
        <w:t xml:space="preserve">= oil revenue relative to GDP; </w:t>
      </w:r>
      <m:oMath>
        <m:r>
          <w:rPr>
            <w:rFonts w:ascii="Cambria Math" w:hAnsi="Cambria Math"/>
            <w:sz w:val="20"/>
            <w:szCs w:val="20"/>
          </w:rPr>
          <m:t>ue</m:t>
        </m:r>
      </m:oMath>
      <w:r w:rsidRPr="006C520E">
        <w:rPr>
          <w:rFonts w:eastAsiaTheme="minorEastAsia"/>
          <w:sz w:val="20"/>
          <w:szCs w:val="20"/>
        </w:rPr>
        <w:t xml:space="preserve"> = underground economy relative to the official GDP; </w:t>
      </w:r>
      <m:oMath>
        <m:r>
          <w:rPr>
            <w:rFonts w:ascii="Cambria Math" w:hAnsi="Cambria Math"/>
            <w:sz w:val="20"/>
            <w:szCs w:val="20"/>
          </w:rPr>
          <m:t>debt</m:t>
        </m:r>
      </m:oMath>
      <w:r w:rsidRPr="006C520E">
        <w:rPr>
          <w:rFonts w:eastAsiaTheme="minorEastAsia"/>
          <w:sz w:val="20"/>
          <w:szCs w:val="20"/>
        </w:rPr>
        <w:t xml:space="preserve"> = gross debt of the central government; </w:t>
      </w:r>
      <m:oMath>
        <m:r>
          <w:rPr>
            <w:rFonts w:ascii="Cambria Math" w:hAnsi="Cambria Math"/>
            <w:sz w:val="20"/>
            <w:szCs w:val="20"/>
          </w:rPr>
          <m:t>dinv</m:t>
        </m:r>
      </m:oMath>
      <w:r w:rsidRPr="006C520E">
        <w:rPr>
          <w:rFonts w:eastAsiaTheme="minorEastAsia"/>
          <w:sz w:val="20"/>
          <w:szCs w:val="20"/>
        </w:rPr>
        <w:t xml:space="preserve">= ratio of domestic investment to the GDP; </w:t>
      </w:r>
      <m:oMath>
        <m:r>
          <w:rPr>
            <w:rFonts w:ascii="Cambria Math" w:hAnsi="Cambria Math"/>
            <w:sz w:val="20"/>
            <w:szCs w:val="20"/>
          </w:rPr>
          <m:t>fx</m:t>
        </m:r>
      </m:oMath>
      <w:r w:rsidRPr="006C520E">
        <w:rPr>
          <w:rFonts w:eastAsiaTheme="minorEastAsia"/>
          <w:sz w:val="20"/>
          <w:szCs w:val="20"/>
        </w:rPr>
        <w:t xml:space="preserve">= exchange rate of Naira per US Dollar; </w:t>
      </w:r>
      <m:oMath>
        <m:r>
          <w:rPr>
            <w:rFonts w:ascii="Cambria Math" w:hAnsi="Cambria Math"/>
            <w:sz w:val="20"/>
            <w:szCs w:val="20"/>
          </w:rPr>
          <m:t xml:space="preserve">elec </m:t>
        </m:r>
      </m:oMath>
      <w:r w:rsidRPr="006C520E">
        <w:rPr>
          <w:rFonts w:eastAsiaTheme="minorEastAsia"/>
          <w:sz w:val="20"/>
          <w:szCs w:val="20"/>
        </w:rPr>
        <w:t xml:space="preserve">= percentage of population with access to electricity; </w:t>
      </w:r>
      <m:oMath>
        <m:r>
          <w:rPr>
            <w:rFonts w:ascii="Cambria Math" w:hAnsi="Cambria Math"/>
            <w:sz w:val="20"/>
            <w:szCs w:val="20"/>
          </w:rPr>
          <m:t>fbal</m:t>
        </m:r>
      </m:oMath>
      <w:r w:rsidRPr="006C520E">
        <w:rPr>
          <w:rFonts w:eastAsiaTheme="minorEastAsia"/>
          <w:sz w:val="20"/>
          <w:szCs w:val="20"/>
        </w:rPr>
        <w:t xml:space="preserve"> = primary fiscal balance; </w:t>
      </w:r>
      <m:oMath>
        <m:r>
          <w:rPr>
            <w:rFonts w:ascii="Cambria Math" w:hAnsi="Cambria Math"/>
            <w:sz w:val="20"/>
            <w:szCs w:val="20"/>
          </w:rPr>
          <m:t>p</m:t>
        </m:r>
      </m:oMath>
      <w:r w:rsidRPr="006C520E">
        <w:rPr>
          <w:rFonts w:eastAsiaTheme="minorEastAsia"/>
          <w:sz w:val="20"/>
          <w:szCs w:val="20"/>
        </w:rPr>
        <w:t xml:space="preserve"> = headline consumer price inflation rate</w:t>
      </w:r>
    </w:p>
    <w:p w14:paraId="35F6A6D4" w14:textId="77777777" w:rsidR="00603ADE" w:rsidRPr="006C520E" w:rsidRDefault="00603ADE" w:rsidP="00603ADE">
      <w:pPr>
        <w:spacing w:before="240" w:after="0"/>
      </w:pPr>
      <w:r w:rsidRPr="006C520E">
        <w:rPr>
          <w:b/>
        </w:rPr>
        <w:t>Table 2</w:t>
      </w:r>
      <w:r w:rsidRPr="006C520E">
        <w:t xml:space="preserve"> Results of unit root tests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613"/>
        <w:gridCol w:w="834"/>
        <w:gridCol w:w="899"/>
        <w:gridCol w:w="899"/>
        <w:gridCol w:w="899"/>
        <w:gridCol w:w="899"/>
        <w:gridCol w:w="899"/>
        <w:gridCol w:w="899"/>
        <w:gridCol w:w="835"/>
        <w:gridCol w:w="893"/>
      </w:tblGrid>
      <w:tr w:rsidR="00603ADE" w:rsidRPr="006C520E" w14:paraId="10F10086" w14:textId="77777777" w:rsidTr="009A58A3">
        <w:tc>
          <w:tcPr>
            <w:tcW w:w="423" w:type="pct"/>
            <w:tcBorders>
              <w:top w:val="single" w:sz="4" w:space="0" w:color="auto"/>
              <w:bottom w:val="single" w:sz="4" w:space="0" w:color="auto"/>
            </w:tcBorders>
            <w:vAlign w:val="center"/>
          </w:tcPr>
          <w:p w14:paraId="526AD194" w14:textId="77777777" w:rsidR="00603ADE" w:rsidRPr="006C520E" w:rsidRDefault="00603ADE" w:rsidP="009A58A3">
            <w:pPr>
              <w:jc w:val="left"/>
            </w:pPr>
            <w:r w:rsidRPr="006C520E">
              <w:t>Test</w:t>
            </w:r>
          </w:p>
        </w:tc>
        <w:tc>
          <w:tcPr>
            <w:tcW w:w="328" w:type="pct"/>
            <w:tcBorders>
              <w:top w:val="single" w:sz="4" w:space="0" w:color="auto"/>
              <w:bottom w:val="single" w:sz="4" w:space="0" w:color="auto"/>
            </w:tcBorders>
          </w:tcPr>
          <w:p w14:paraId="66F70E4E" w14:textId="77777777" w:rsidR="00603ADE" w:rsidRPr="006C520E" w:rsidRDefault="00603ADE" w:rsidP="009A58A3">
            <w:pPr>
              <w:jc w:val="center"/>
              <w:rPr>
                <w:rFonts w:eastAsia="Calibri" w:cs="Times New Roman"/>
              </w:rPr>
            </w:pPr>
            <w:proofErr w:type="gramStart"/>
            <w:r w:rsidRPr="006C520E">
              <w:rPr>
                <w:rFonts w:eastAsia="Calibri" w:cs="Times New Roman"/>
              </w:rPr>
              <w:t>I(</w:t>
            </w:r>
            <w:proofErr w:type="gramEnd"/>
            <m:oMath>
              <m:r>
                <w:rPr>
                  <w:rFonts w:ascii="Cambria Math" w:eastAsia="Calibri" w:hAnsi="Cambria Math" w:cs="Times New Roman"/>
                </w:rPr>
                <m:t>d</m:t>
              </m:r>
            </m:oMath>
            <w:r w:rsidRPr="006C520E">
              <w:rPr>
                <w:rFonts w:eastAsia="Calibri" w:cs="Times New Roman"/>
              </w:rPr>
              <w:t>)</w:t>
            </w:r>
          </w:p>
        </w:tc>
        <w:tc>
          <w:tcPr>
            <w:tcW w:w="446" w:type="pct"/>
            <w:tcBorders>
              <w:top w:val="single" w:sz="4" w:space="0" w:color="auto"/>
              <w:bottom w:val="single" w:sz="4" w:space="0" w:color="auto"/>
            </w:tcBorders>
            <w:vAlign w:val="center"/>
          </w:tcPr>
          <w:p w14:paraId="2EECA39F" w14:textId="77777777" w:rsidR="00603ADE" w:rsidRPr="006C520E" w:rsidRDefault="00603ADE" w:rsidP="009A58A3">
            <w:pPr>
              <w:jc w:val="right"/>
            </w:pPr>
            <m:oMathPara>
              <m:oMathParaPr>
                <m:jc m:val="center"/>
              </m:oMathParaPr>
              <m:oMath>
                <m:r>
                  <w:rPr>
                    <w:rFonts w:ascii="Cambria Math" w:eastAsiaTheme="minorEastAsia" w:hAnsi="Cambria Math"/>
                  </w:rPr>
                  <m:t>y</m:t>
                </m:r>
              </m:oMath>
            </m:oMathPara>
          </w:p>
        </w:tc>
        <w:tc>
          <w:tcPr>
            <w:tcW w:w="480" w:type="pct"/>
            <w:tcBorders>
              <w:top w:val="single" w:sz="4" w:space="0" w:color="auto"/>
              <w:bottom w:val="single" w:sz="4" w:space="0" w:color="auto"/>
            </w:tcBorders>
            <w:vAlign w:val="center"/>
          </w:tcPr>
          <w:p w14:paraId="474DEA12" w14:textId="77777777" w:rsidR="00603ADE" w:rsidRPr="006C520E" w:rsidRDefault="00603ADE" w:rsidP="009A58A3">
            <w:pPr>
              <w:jc w:val="right"/>
            </w:pPr>
            <m:oMathPara>
              <m:oMathParaPr>
                <m:jc m:val="center"/>
              </m:oMathParaPr>
              <m:oMath>
                <m:r>
                  <w:rPr>
                    <w:rFonts w:ascii="Cambria Math" w:hAnsi="Cambria Math"/>
                  </w:rPr>
                  <m:t>oil</m:t>
                </m:r>
              </m:oMath>
            </m:oMathPara>
          </w:p>
        </w:tc>
        <w:tc>
          <w:tcPr>
            <w:tcW w:w="480" w:type="pct"/>
            <w:tcBorders>
              <w:top w:val="single" w:sz="4" w:space="0" w:color="auto"/>
              <w:bottom w:val="single" w:sz="4" w:space="0" w:color="auto"/>
            </w:tcBorders>
            <w:vAlign w:val="center"/>
          </w:tcPr>
          <w:p w14:paraId="1319902E" w14:textId="77777777" w:rsidR="00603ADE" w:rsidRPr="006C520E" w:rsidRDefault="00603ADE" w:rsidP="009A58A3">
            <w:pPr>
              <w:jc w:val="right"/>
            </w:pPr>
            <m:oMathPara>
              <m:oMathParaPr>
                <m:jc m:val="center"/>
              </m:oMathParaPr>
              <m:oMath>
                <m:r>
                  <w:rPr>
                    <w:rFonts w:ascii="Cambria Math" w:hAnsi="Cambria Math"/>
                  </w:rPr>
                  <m:t>ue</m:t>
                </m:r>
              </m:oMath>
            </m:oMathPara>
          </w:p>
        </w:tc>
        <w:tc>
          <w:tcPr>
            <w:tcW w:w="480" w:type="pct"/>
            <w:tcBorders>
              <w:top w:val="single" w:sz="4" w:space="0" w:color="auto"/>
              <w:bottom w:val="single" w:sz="4" w:space="0" w:color="auto"/>
            </w:tcBorders>
            <w:vAlign w:val="center"/>
          </w:tcPr>
          <w:p w14:paraId="56BCEDCE" w14:textId="77777777" w:rsidR="00603ADE" w:rsidRPr="006C520E" w:rsidRDefault="00603ADE" w:rsidP="009A58A3">
            <w:pPr>
              <w:jc w:val="right"/>
              <w:rPr>
                <w:rFonts w:eastAsia="Calibri" w:cs="Times New Roman"/>
              </w:rPr>
            </w:pPr>
            <m:oMathPara>
              <m:oMathParaPr>
                <m:jc m:val="center"/>
              </m:oMathParaPr>
              <m:oMath>
                <m:r>
                  <w:rPr>
                    <w:rFonts w:ascii="Cambria Math" w:hAnsi="Cambria Math"/>
                  </w:rPr>
                  <m:t>debt</m:t>
                </m:r>
              </m:oMath>
            </m:oMathPara>
          </w:p>
        </w:tc>
        <w:tc>
          <w:tcPr>
            <w:tcW w:w="480" w:type="pct"/>
            <w:tcBorders>
              <w:top w:val="single" w:sz="4" w:space="0" w:color="auto"/>
              <w:bottom w:val="single" w:sz="4" w:space="0" w:color="auto"/>
            </w:tcBorders>
            <w:vAlign w:val="center"/>
          </w:tcPr>
          <w:p w14:paraId="28FBE169" w14:textId="77777777" w:rsidR="00603ADE" w:rsidRPr="006C520E" w:rsidRDefault="00603ADE" w:rsidP="009A58A3">
            <w:pPr>
              <w:jc w:val="right"/>
            </w:pPr>
            <m:oMathPara>
              <m:oMathParaPr>
                <m:jc m:val="center"/>
              </m:oMathParaPr>
              <m:oMath>
                <m:r>
                  <w:rPr>
                    <w:rFonts w:ascii="Cambria Math" w:hAnsi="Cambria Math"/>
                  </w:rPr>
                  <m:t>dinv</m:t>
                </m:r>
              </m:oMath>
            </m:oMathPara>
          </w:p>
        </w:tc>
        <w:tc>
          <w:tcPr>
            <w:tcW w:w="480" w:type="pct"/>
            <w:tcBorders>
              <w:top w:val="single" w:sz="4" w:space="0" w:color="auto"/>
              <w:bottom w:val="single" w:sz="4" w:space="0" w:color="auto"/>
            </w:tcBorders>
            <w:vAlign w:val="center"/>
          </w:tcPr>
          <w:p w14:paraId="6203505C" w14:textId="77777777" w:rsidR="00603ADE" w:rsidRPr="006C520E" w:rsidRDefault="00603ADE" w:rsidP="009A58A3">
            <w:pPr>
              <w:jc w:val="right"/>
            </w:pPr>
            <m:oMathPara>
              <m:oMathParaPr>
                <m:jc m:val="center"/>
              </m:oMathParaPr>
              <m:oMath>
                <m:r>
                  <w:rPr>
                    <w:rFonts w:ascii="Cambria Math" w:hAnsi="Cambria Math"/>
                  </w:rPr>
                  <m:t>fx</m:t>
                </m:r>
              </m:oMath>
            </m:oMathPara>
          </w:p>
        </w:tc>
        <w:tc>
          <w:tcPr>
            <w:tcW w:w="480" w:type="pct"/>
            <w:tcBorders>
              <w:top w:val="single" w:sz="4" w:space="0" w:color="auto"/>
              <w:bottom w:val="single" w:sz="4" w:space="0" w:color="auto"/>
            </w:tcBorders>
            <w:vAlign w:val="center"/>
          </w:tcPr>
          <w:p w14:paraId="342EC3BF" w14:textId="77777777" w:rsidR="00603ADE" w:rsidRPr="006C520E" w:rsidRDefault="00603ADE" w:rsidP="009A58A3">
            <w:pPr>
              <w:jc w:val="right"/>
            </w:pPr>
            <m:oMathPara>
              <m:oMathParaPr>
                <m:jc m:val="center"/>
              </m:oMathParaPr>
              <m:oMath>
                <m:r>
                  <w:rPr>
                    <w:rFonts w:ascii="Cambria Math" w:hAnsi="Cambria Math"/>
                  </w:rPr>
                  <m:t>elec</m:t>
                </m:r>
              </m:oMath>
            </m:oMathPara>
          </w:p>
        </w:tc>
        <w:tc>
          <w:tcPr>
            <w:tcW w:w="446" w:type="pct"/>
            <w:tcBorders>
              <w:top w:val="single" w:sz="4" w:space="0" w:color="auto"/>
              <w:bottom w:val="single" w:sz="4" w:space="0" w:color="auto"/>
            </w:tcBorders>
          </w:tcPr>
          <w:p w14:paraId="01184690" w14:textId="77777777" w:rsidR="00603ADE" w:rsidRPr="006C520E" w:rsidRDefault="00603ADE" w:rsidP="009A58A3">
            <w:pPr>
              <w:jc w:val="right"/>
              <w:rPr>
                <w:rFonts w:eastAsia="Calibri" w:cs="Times New Roman"/>
              </w:rPr>
            </w:pPr>
            <m:oMathPara>
              <m:oMath>
                <m:r>
                  <w:rPr>
                    <w:rFonts w:ascii="Cambria Math" w:hAnsi="Cambria Math"/>
                  </w:rPr>
                  <m:t>fbal</m:t>
                </m:r>
              </m:oMath>
            </m:oMathPara>
          </w:p>
        </w:tc>
        <w:tc>
          <w:tcPr>
            <w:tcW w:w="480" w:type="pct"/>
            <w:tcBorders>
              <w:top w:val="single" w:sz="4" w:space="0" w:color="auto"/>
              <w:bottom w:val="single" w:sz="4" w:space="0" w:color="auto"/>
            </w:tcBorders>
          </w:tcPr>
          <w:p w14:paraId="1B57C36E" w14:textId="77777777" w:rsidR="00603ADE" w:rsidRPr="006C520E" w:rsidRDefault="00603ADE" w:rsidP="009A58A3">
            <w:pPr>
              <w:jc w:val="right"/>
              <w:rPr>
                <w:rFonts w:eastAsia="Calibri" w:cs="Times New Roman"/>
              </w:rPr>
            </w:pPr>
            <m:oMathPara>
              <m:oMath>
                <m:r>
                  <w:rPr>
                    <w:rFonts w:ascii="Cambria Math" w:hAnsi="Cambria Math"/>
                  </w:rPr>
                  <m:t>p</m:t>
                </m:r>
              </m:oMath>
            </m:oMathPara>
          </w:p>
        </w:tc>
      </w:tr>
      <w:tr w:rsidR="00603ADE" w:rsidRPr="006C520E" w14:paraId="6DD1EB4D" w14:textId="77777777" w:rsidTr="009A58A3">
        <w:tc>
          <w:tcPr>
            <w:tcW w:w="423" w:type="pct"/>
            <w:vMerge w:val="restart"/>
            <w:tcBorders>
              <w:top w:val="single" w:sz="4" w:space="0" w:color="auto"/>
            </w:tcBorders>
            <w:vAlign w:val="center"/>
          </w:tcPr>
          <w:p w14:paraId="08ADBE15" w14:textId="77777777" w:rsidR="00603ADE" w:rsidRPr="006C520E" w:rsidRDefault="00603ADE" w:rsidP="009A58A3">
            <w:pPr>
              <w:jc w:val="left"/>
            </w:pPr>
            <w:r w:rsidRPr="006C520E">
              <w:t>ADF</w:t>
            </w:r>
          </w:p>
        </w:tc>
        <w:tc>
          <w:tcPr>
            <w:tcW w:w="328" w:type="pct"/>
            <w:tcBorders>
              <w:top w:val="single" w:sz="4" w:space="0" w:color="auto"/>
            </w:tcBorders>
          </w:tcPr>
          <w:p w14:paraId="0C61D99A" w14:textId="77777777" w:rsidR="00603ADE" w:rsidRPr="006C520E" w:rsidRDefault="00603ADE" w:rsidP="009A58A3">
            <w:pPr>
              <w:jc w:val="center"/>
            </w:pPr>
            <w:proofErr w:type="gramStart"/>
            <w:r w:rsidRPr="006C520E">
              <w:t>I(</w:t>
            </w:r>
            <w:proofErr w:type="gramEnd"/>
            <w:r w:rsidRPr="006C520E">
              <w:t>0)</w:t>
            </w:r>
          </w:p>
        </w:tc>
        <w:tc>
          <w:tcPr>
            <w:tcW w:w="446" w:type="pct"/>
            <w:tcBorders>
              <w:top w:val="single" w:sz="4" w:space="0" w:color="auto"/>
            </w:tcBorders>
            <w:vAlign w:val="bottom"/>
          </w:tcPr>
          <w:p w14:paraId="20E599FD" w14:textId="77777777" w:rsidR="00603ADE" w:rsidRPr="006C520E" w:rsidRDefault="00603ADE" w:rsidP="009A58A3">
            <w:pPr>
              <w:jc w:val="center"/>
            </w:pPr>
            <w:r w:rsidRPr="006C520E">
              <w:t>-0.237</w:t>
            </w:r>
          </w:p>
        </w:tc>
        <w:tc>
          <w:tcPr>
            <w:tcW w:w="480" w:type="pct"/>
            <w:tcBorders>
              <w:top w:val="single" w:sz="4" w:space="0" w:color="auto"/>
            </w:tcBorders>
            <w:vAlign w:val="bottom"/>
          </w:tcPr>
          <w:p w14:paraId="2351411D" w14:textId="77777777" w:rsidR="00603ADE" w:rsidRPr="006C520E" w:rsidRDefault="00603ADE" w:rsidP="009A58A3">
            <w:pPr>
              <w:jc w:val="center"/>
            </w:pPr>
            <w:r w:rsidRPr="006C520E">
              <w:t>-0.620</w:t>
            </w:r>
          </w:p>
        </w:tc>
        <w:tc>
          <w:tcPr>
            <w:tcW w:w="480" w:type="pct"/>
            <w:tcBorders>
              <w:top w:val="single" w:sz="4" w:space="0" w:color="auto"/>
            </w:tcBorders>
            <w:vAlign w:val="bottom"/>
          </w:tcPr>
          <w:p w14:paraId="7F3BA838" w14:textId="77777777" w:rsidR="00603ADE" w:rsidRPr="006C520E" w:rsidRDefault="00603ADE" w:rsidP="009A58A3">
            <w:pPr>
              <w:jc w:val="center"/>
              <w:rPr>
                <w:rFonts w:eastAsia="Times New Roman" w:cs="Calibri"/>
                <w:szCs w:val="24"/>
              </w:rPr>
            </w:pPr>
            <w:r w:rsidRPr="006C520E">
              <w:rPr>
                <w:rFonts w:eastAsia="Times New Roman" w:cs="Calibri"/>
                <w:szCs w:val="24"/>
              </w:rPr>
              <w:t>-0.237</w:t>
            </w:r>
          </w:p>
        </w:tc>
        <w:tc>
          <w:tcPr>
            <w:tcW w:w="480" w:type="pct"/>
            <w:tcBorders>
              <w:top w:val="single" w:sz="4" w:space="0" w:color="auto"/>
            </w:tcBorders>
            <w:vAlign w:val="bottom"/>
          </w:tcPr>
          <w:p w14:paraId="2EB17B1F" w14:textId="77777777" w:rsidR="00603ADE" w:rsidRPr="006C520E" w:rsidRDefault="00603ADE" w:rsidP="009A58A3">
            <w:pPr>
              <w:jc w:val="center"/>
              <w:rPr>
                <w:rFonts w:eastAsia="Times New Roman" w:cs="Calibri"/>
                <w:szCs w:val="24"/>
              </w:rPr>
            </w:pPr>
            <w:r w:rsidRPr="006C520E">
              <w:rPr>
                <w:rFonts w:eastAsia="Times New Roman" w:cs="Calibri"/>
                <w:szCs w:val="24"/>
              </w:rPr>
              <w:t>-2.001</w:t>
            </w:r>
          </w:p>
        </w:tc>
        <w:tc>
          <w:tcPr>
            <w:tcW w:w="480" w:type="pct"/>
            <w:tcBorders>
              <w:top w:val="single" w:sz="4" w:space="0" w:color="auto"/>
            </w:tcBorders>
            <w:vAlign w:val="bottom"/>
          </w:tcPr>
          <w:p w14:paraId="69CD1F6A" w14:textId="77777777" w:rsidR="00603ADE" w:rsidRPr="006C520E" w:rsidRDefault="00603ADE" w:rsidP="009A58A3">
            <w:pPr>
              <w:jc w:val="center"/>
              <w:rPr>
                <w:rFonts w:eastAsia="Times New Roman" w:cs="Calibri"/>
                <w:szCs w:val="24"/>
              </w:rPr>
            </w:pPr>
            <w:r w:rsidRPr="006C520E">
              <w:rPr>
                <w:rFonts w:eastAsia="Times New Roman" w:cs="Calibri"/>
                <w:szCs w:val="24"/>
              </w:rPr>
              <w:t>-0.834</w:t>
            </w:r>
          </w:p>
        </w:tc>
        <w:tc>
          <w:tcPr>
            <w:tcW w:w="480" w:type="pct"/>
            <w:tcBorders>
              <w:top w:val="single" w:sz="4" w:space="0" w:color="auto"/>
            </w:tcBorders>
            <w:vAlign w:val="bottom"/>
          </w:tcPr>
          <w:p w14:paraId="7D3B0676" w14:textId="77777777" w:rsidR="00603ADE" w:rsidRPr="006C520E" w:rsidRDefault="00603ADE" w:rsidP="009A58A3">
            <w:pPr>
              <w:jc w:val="center"/>
              <w:rPr>
                <w:rFonts w:eastAsia="Times New Roman" w:cs="Calibri"/>
                <w:szCs w:val="24"/>
              </w:rPr>
            </w:pPr>
            <w:r w:rsidRPr="006C520E">
              <w:rPr>
                <w:rFonts w:eastAsia="Times New Roman" w:cs="Calibri"/>
                <w:szCs w:val="24"/>
              </w:rPr>
              <w:t>1.856</w:t>
            </w:r>
          </w:p>
        </w:tc>
        <w:tc>
          <w:tcPr>
            <w:tcW w:w="480" w:type="pct"/>
            <w:tcBorders>
              <w:top w:val="single" w:sz="4" w:space="0" w:color="auto"/>
            </w:tcBorders>
            <w:vAlign w:val="bottom"/>
          </w:tcPr>
          <w:p w14:paraId="5C73DEB7" w14:textId="77777777" w:rsidR="00603ADE" w:rsidRPr="006C520E" w:rsidRDefault="00603ADE" w:rsidP="009A58A3">
            <w:pPr>
              <w:jc w:val="center"/>
              <w:rPr>
                <w:rFonts w:eastAsia="Times New Roman" w:cs="Calibri"/>
                <w:szCs w:val="24"/>
              </w:rPr>
            </w:pPr>
            <w:r w:rsidRPr="006C520E">
              <w:rPr>
                <w:rFonts w:eastAsia="Times New Roman" w:cs="Calibri"/>
                <w:szCs w:val="24"/>
              </w:rPr>
              <w:t>-2.471</w:t>
            </w:r>
          </w:p>
        </w:tc>
        <w:tc>
          <w:tcPr>
            <w:tcW w:w="446" w:type="pct"/>
            <w:tcBorders>
              <w:top w:val="single" w:sz="4" w:space="0" w:color="auto"/>
            </w:tcBorders>
          </w:tcPr>
          <w:p w14:paraId="64340A70" w14:textId="77777777" w:rsidR="00603ADE" w:rsidRPr="006C520E" w:rsidRDefault="00603ADE" w:rsidP="009A58A3">
            <w:pPr>
              <w:jc w:val="center"/>
              <w:rPr>
                <w:rFonts w:eastAsia="Times New Roman" w:cs="Calibri"/>
                <w:szCs w:val="24"/>
              </w:rPr>
            </w:pPr>
            <w:r w:rsidRPr="006C520E">
              <w:rPr>
                <w:rFonts w:eastAsia="Times New Roman" w:cs="Calibri"/>
                <w:szCs w:val="24"/>
              </w:rPr>
              <w:t>-1.44</w:t>
            </w:r>
          </w:p>
        </w:tc>
        <w:tc>
          <w:tcPr>
            <w:tcW w:w="480" w:type="pct"/>
            <w:tcBorders>
              <w:top w:val="single" w:sz="4" w:space="0" w:color="auto"/>
            </w:tcBorders>
          </w:tcPr>
          <w:p w14:paraId="3B816379" w14:textId="77777777" w:rsidR="00603ADE" w:rsidRPr="006C520E" w:rsidRDefault="00603ADE" w:rsidP="009A58A3">
            <w:pPr>
              <w:jc w:val="center"/>
              <w:rPr>
                <w:rFonts w:eastAsia="Times New Roman" w:cs="Calibri"/>
                <w:szCs w:val="24"/>
                <w:vertAlign w:val="superscript"/>
              </w:rPr>
            </w:pPr>
            <w:r w:rsidRPr="006C520E">
              <w:rPr>
                <w:rFonts w:eastAsia="Times New Roman" w:cs="Calibri"/>
                <w:szCs w:val="24"/>
              </w:rPr>
              <w:t>-3.04</w:t>
            </w:r>
            <w:r w:rsidRPr="006C520E">
              <w:rPr>
                <w:rFonts w:eastAsia="Times New Roman" w:cs="Calibri"/>
                <w:szCs w:val="24"/>
                <w:vertAlign w:val="superscript"/>
              </w:rPr>
              <w:t>**</w:t>
            </w:r>
          </w:p>
        </w:tc>
      </w:tr>
      <w:tr w:rsidR="00603ADE" w:rsidRPr="006C520E" w14:paraId="09F681D7" w14:textId="77777777" w:rsidTr="009A58A3">
        <w:tc>
          <w:tcPr>
            <w:tcW w:w="423" w:type="pct"/>
            <w:vMerge/>
            <w:vAlign w:val="center"/>
          </w:tcPr>
          <w:p w14:paraId="293CDAB7" w14:textId="77777777" w:rsidR="00603ADE" w:rsidRPr="006C520E" w:rsidRDefault="00603ADE" w:rsidP="009A58A3">
            <w:pPr>
              <w:jc w:val="left"/>
            </w:pPr>
          </w:p>
        </w:tc>
        <w:tc>
          <w:tcPr>
            <w:tcW w:w="328" w:type="pct"/>
          </w:tcPr>
          <w:p w14:paraId="1E9F6E22" w14:textId="77777777" w:rsidR="00603ADE" w:rsidRPr="006C520E" w:rsidRDefault="00603ADE" w:rsidP="009A58A3">
            <w:pPr>
              <w:jc w:val="center"/>
              <w:rPr>
                <w:rFonts w:cs="Calibri"/>
                <w:szCs w:val="24"/>
              </w:rPr>
            </w:pPr>
            <w:proofErr w:type="gramStart"/>
            <w:r w:rsidRPr="006C520E">
              <w:t>I(</w:t>
            </w:r>
            <w:proofErr w:type="gramEnd"/>
            <w:r w:rsidRPr="006C520E">
              <w:t>1)</w:t>
            </w:r>
          </w:p>
        </w:tc>
        <w:tc>
          <w:tcPr>
            <w:tcW w:w="446" w:type="pct"/>
            <w:vAlign w:val="bottom"/>
          </w:tcPr>
          <w:p w14:paraId="6550C50C" w14:textId="77777777" w:rsidR="00603ADE" w:rsidRPr="006C520E" w:rsidRDefault="00603ADE" w:rsidP="009A58A3">
            <w:pPr>
              <w:jc w:val="center"/>
              <w:rPr>
                <w:rFonts w:cs="Calibri"/>
                <w:szCs w:val="24"/>
              </w:rPr>
            </w:pPr>
            <w:r w:rsidRPr="006C520E">
              <w:rPr>
                <w:rFonts w:cs="Calibri"/>
                <w:szCs w:val="24"/>
              </w:rPr>
              <w:t>-2.69</w:t>
            </w:r>
            <w:r w:rsidRPr="006C520E">
              <w:rPr>
                <w:rFonts w:cs="Calibri"/>
                <w:szCs w:val="24"/>
                <w:vertAlign w:val="superscript"/>
              </w:rPr>
              <w:t>*</w:t>
            </w:r>
          </w:p>
        </w:tc>
        <w:tc>
          <w:tcPr>
            <w:tcW w:w="480" w:type="pct"/>
            <w:vAlign w:val="bottom"/>
          </w:tcPr>
          <w:p w14:paraId="66A44E20" w14:textId="77777777" w:rsidR="00603ADE" w:rsidRPr="006C520E" w:rsidRDefault="00603ADE" w:rsidP="009A58A3">
            <w:pPr>
              <w:jc w:val="center"/>
              <w:rPr>
                <w:rFonts w:cs="Calibri"/>
                <w:szCs w:val="24"/>
                <w:vertAlign w:val="superscript"/>
              </w:rPr>
            </w:pPr>
            <w:r w:rsidRPr="006C520E">
              <w:t>-5.31</w:t>
            </w:r>
            <w:r w:rsidRPr="006C520E">
              <w:rPr>
                <w:vertAlign w:val="superscript"/>
              </w:rPr>
              <w:t>***</w:t>
            </w:r>
          </w:p>
        </w:tc>
        <w:tc>
          <w:tcPr>
            <w:tcW w:w="480" w:type="pct"/>
            <w:vAlign w:val="bottom"/>
          </w:tcPr>
          <w:p w14:paraId="485609A0" w14:textId="77777777" w:rsidR="00603ADE" w:rsidRPr="006C520E" w:rsidRDefault="00603ADE" w:rsidP="009A58A3">
            <w:pPr>
              <w:jc w:val="center"/>
              <w:rPr>
                <w:rFonts w:cs="Calibri"/>
                <w:szCs w:val="24"/>
              </w:rPr>
            </w:pPr>
            <w:r w:rsidRPr="006C520E">
              <w:rPr>
                <w:rFonts w:eastAsia="Times New Roman" w:cs="Calibri"/>
                <w:szCs w:val="24"/>
              </w:rPr>
              <w:t>-4.58</w:t>
            </w:r>
            <w:r w:rsidRPr="006C520E">
              <w:rPr>
                <w:vertAlign w:val="superscript"/>
              </w:rPr>
              <w:t>***</w:t>
            </w:r>
          </w:p>
        </w:tc>
        <w:tc>
          <w:tcPr>
            <w:tcW w:w="480" w:type="pct"/>
            <w:vAlign w:val="bottom"/>
          </w:tcPr>
          <w:p w14:paraId="27BC1D76" w14:textId="77777777" w:rsidR="00603ADE" w:rsidRPr="006C520E" w:rsidRDefault="00603ADE" w:rsidP="009A58A3">
            <w:pPr>
              <w:jc w:val="center"/>
              <w:rPr>
                <w:rFonts w:cs="Calibri"/>
                <w:szCs w:val="24"/>
                <w:vertAlign w:val="superscript"/>
              </w:rPr>
            </w:pPr>
            <w:r w:rsidRPr="006C520E">
              <w:rPr>
                <w:rFonts w:eastAsia="Times New Roman" w:cs="Calibri"/>
                <w:szCs w:val="24"/>
              </w:rPr>
              <w:t>-3.82</w:t>
            </w:r>
            <w:r w:rsidRPr="006C520E">
              <w:rPr>
                <w:rFonts w:eastAsia="Times New Roman" w:cs="Calibri"/>
                <w:szCs w:val="24"/>
                <w:vertAlign w:val="superscript"/>
              </w:rPr>
              <w:t>***</w:t>
            </w:r>
          </w:p>
        </w:tc>
        <w:tc>
          <w:tcPr>
            <w:tcW w:w="480" w:type="pct"/>
            <w:vAlign w:val="bottom"/>
          </w:tcPr>
          <w:p w14:paraId="76C305A4" w14:textId="77777777" w:rsidR="00603ADE" w:rsidRPr="006C520E" w:rsidRDefault="00603ADE" w:rsidP="009A58A3">
            <w:pPr>
              <w:jc w:val="center"/>
              <w:rPr>
                <w:rFonts w:cs="Calibri"/>
                <w:szCs w:val="24"/>
              </w:rPr>
            </w:pPr>
            <w:r w:rsidRPr="006C520E">
              <w:rPr>
                <w:rFonts w:eastAsia="Times New Roman" w:cs="Calibri"/>
                <w:szCs w:val="24"/>
              </w:rPr>
              <w:t>-4.62</w:t>
            </w:r>
            <w:r w:rsidRPr="006C520E">
              <w:rPr>
                <w:rFonts w:eastAsia="Times New Roman" w:cs="Calibri"/>
                <w:szCs w:val="24"/>
                <w:vertAlign w:val="superscript"/>
              </w:rPr>
              <w:t>***</w:t>
            </w:r>
          </w:p>
        </w:tc>
        <w:tc>
          <w:tcPr>
            <w:tcW w:w="480" w:type="pct"/>
            <w:vAlign w:val="bottom"/>
          </w:tcPr>
          <w:p w14:paraId="32BC5340" w14:textId="77777777" w:rsidR="00603ADE" w:rsidRPr="006C520E" w:rsidRDefault="00603ADE" w:rsidP="009A58A3">
            <w:pPr>
              <w:jc w:val="center"/>
              <w:rPr>
                <w:rFonts w:cs="Calibri"/>
                <w:szCs w:val="24"/>
              </w:rPr>
            </w:pPr>
            <w:r w:rsidRPr="006C520E">
              <w:rPr>
                <w:rFonts w:eastAsia="Times New Roman" w:cs="Calibri"/>
                <w:szCs w:val="24"/>
              </w:rPr>
              <w:t>-9.68</w:t>
            </w:r>
            <w:r w:rsidRPr="006C520E">
              <w:rPr>
                <w:rFonts w:eastAsia="Times New Roman" w:cs="Calibri"/>
                <w:szCs w:val="24"/>
                <w:vertAlign w:val="superscript"/>
              </w:rPr>
              <w:t>***</w:t>
            </w:r>
          </w:p>
        </w:tc>
        <w:tc>
          <w:tcPr>
            <w:tcW w:w="480" w:type="pct"/>
            <w:vAlign w:val="bottom"/>
          </w:tcPr>
          <w:p w14:paraId="7DD27CA9" w14:textId="77777777" w:rsidR="00603ADE" w:rsidRPr="006C520E" w:rsidRDefault="00603ADE" w:rsidP="009A58A3">
            <w:pPr>
              <w:jc w:val="center"/>
              <w:rPr>
                <w:rFonts w:cs="Calibri"/>
                <w:szCs w:val="24"/>
              </w:rPr>
            </w:pPr>
            <w:r w:rsidRPr="006C520E">
              <w:rPr>
                <w:rFonts w:eastAsia="Times New Roman" w:cs="Calibri"/>
                <w:szCs w:val="24"/>
              </w:rPr>
              <w:t>-4.05</w:t>
            </w:r>
            <w:r w:rsidRPr="006C520E">
              <w:rPr>
                <w:rFonts w:eastAsia="Times New Roman" w:cs="Calibri"/>
                <w:szCs w:val="24"/>
                <w:vertAlign w:val="superscript"/>
              </w:rPr>
              <w:t>***</w:t>
            </w:r>
          </w:p>
        </w:tc>
        <w:tc>
          <w:tcPr>
            <w:tcW w:w="446" w:type="pct"/>
          </w:tcPr>
          <w:p w14:paraId="0F056B5D" w14:textId="77777777" w:rsidR="00603ADE" w:rsidRPr="006C520E" w:rsidRDefault="00603ADE" w:rsidP="009A58A3">
            <w:pPr>
              <w:jc w:val="center"/>
              <w:rPr>
                <w:rFonts w:eastAsia="Times New Roman" w:cs="Calibri"/>
                <w:szCs w:val="24"/>
              </w:rPr>
            </w:pPr>
            <w:r w:rsidRPr="006C520E">
              <w:rPr>
                <w:rFonts w:eastAsia="Times New Roman" w:cs="Calibri"/>
                <w:szCs w:val="24"/>
              </w:rPr>
              <w:t>-5.81</w:t>
            </w:r>
          </w:p>
        </w:tc>
        <w:tc>
          <w:tcPr>
            <w:tcW w:w="480" w:type="pct"/>
          </w:tcPr>
          <w:p w14:paraId="5DF48DF3" w14:textId="77777777" w:rsidR="00603ADE" w:rsidRPr="006C520E" w:rsidRDefault="00603ADE" w:rsidP="009A58A3">
            <w:pPr>
              <w:jc w:val="center"/>
              <w:rPr>
                <w:rFonts w:eastAsia="Times New Roman" w:cs="Calibri"/>
                <w:szCs w:val="24"/>
              </w:rPr>
            </w:pPr>
            <w:r w:rsidRPr="006C520E">
              <w:rPr>
                <w:rFonts w:eastAsia="Times New Roman" w:cs="Calibri"/>
                <w:szCs w:val="24"/>
              </w:rPr>
              <w:t>–</w:t>
            </w:r>
          </w:p>
        </w:tc>
      </w:tr>
      <w:tr w:rsidR="00603ADE" w:rsidRPr="006C520E" w14:paraId="0906E52C" w14:textId="77777777" w:rsidTr="009A58A3">
        <w:tc>
          <w:tcPr>
            <w:tcW w:w="423" w:type="pct"/>
            <w:vMerge w:val="restart"/>
            <w:vAlign w:val="center"/>
          </w:tcPr>
          <w:p w14:paraId="50DFD16C" w14:textId="77777777" w:rsidR="00603ADE" w:rsidRPr="006C520E" w:rsidRDefault="00603ADE" w:rsidP="009A58A3">
            <w:pPr>
              <w:jc w:val="left"/>
            </w:pPr>
            <w:r w:rsidRPr="006C520E">
              <w:t>PP</w:t>
            </w:r>
          </w:p>
        </w:tc>
        <w:tc>
          <w:tcPr>
            <w:tcW w:w="328" w:type="pct"/>
          </w:tcPr>
          <w:p w14:paraId="3571FE8B" w14:textId="77777777" w:rsidR="00603ADE" w:rsidRPr="006C520E" w:rsidRDefault="00603ADE" w:rsidP="009A58A3">
            <w:pPr>
              <w:jc w:val="center"/>
              <w:rPr>
                <w:rFonts w:cs="Calibri"/>
                <w:szCs w:val="24"/>
              </w:rPr>
            </w:pPr>
            <w:proofErr w:type="gramStart"/>
            <w:r w:rsidRPr="006C520E">
              <w:t>I(</w:t>
            </w:r>
            <w:proofErr w:type="gramEnd"/>
            <w:r w:rsidRPr="006C520E">
              <w:t>0)</w:t>
            </w:r>
          </w:p>
        </w:tc>
        <w:tc>
          <w:tcPr>
            <w:tcW w:w="446" w:type="pct"/>
            <w:vAlign w:val="bottom"/>
          </w:tcPr>
          <w:p w14:paraId="713ED9F5" w14:textId="77777777" w:rsidR="00603ADE" w:rsidRPr="006C520E" w:rsidRDefault="00603ADE" w:rsidP="009A58A3">
            <w:pPr>
              <w:jc w:val="center"/>
              <w:rPr>
                <w:rFonts w:cs="Calibri"/>
                <w:szCs w:val="24"/>
              </w:rPr>
            </w:pPr>
            <w:r w:rsidRPr="006C520E">
              <w:rPr>
                <w:rFonts w:cs="Calibri"/>
                <w:szCs w:val="24"/>
              </w:rPr>
              <w:t>-0.49</w:t>
            </w:r>
          </w:p>
        </w:tc>
        <w:tc>
          <w:tcPr>
            <w:tcW w:w="480" w:type="pct"/>
            <w:vAlign w:val="bottom"/>
          </w:tcPr>
          <w:p w14:paraId="133C8671" w14:textId="77777777" w:rsidR="00603ADE" w:rsidRPr="006C520E" w:rsidRDefault="00603ADE" w:rsidP="009A58A3">
            <w:pPr>
              <w:jc w:val="center"/>
              <w:rPr>
                <w:rFonts w:cs="Calibri"/>
                <w:szCs w:val="24"/>
              </w:rPr>
            </w:pPr>
            <w:r w:rsidRPr="006C520E">
              <w:t>-1.89</w:t>
            </w:r>
          </w:p>
        </w:tc>
        <w:tc>
          <w:tcPr>
            <w:tcW w:w="480" w:type="pct"/>
            <w:vAlign w:val="bottom"/>
          </w:tcPr>
          <w:p w14:paraId="13FE4909" w14:textId="77777777" w:rsidR="00603ADE" w:rsidRPr="006C520E" w:rsidRDefault="00603ADE" w:rsidP="009A58A3">
            <w:pPr>
              <w:jc w:val="center"/>
              <w:rPr>
                <w:rFonts w:cs="Calibri"/>
                <w:szCs w:val="24"/>
              </w:rPr>
            </w:pPr>
            <w:r w:rsidRPr="006C520E">
              <w:rPr>
                <w:rFonts w:eastAsia="Times New Roman" w:cs="Calibri"/>
                <w:szCs w:val="24"/>
              </w:rPr>
              <w:t>-0.77</w:t>
            </w:r>
          </w:p>
        </w:tc>
        <w:tc>
          <w:tcPr>
            <w:tcW w:w="480" w:type="pct"/>
            <w:vAlign w:val="bottom"/>
          </w:tcPr>
          <w:p w14:paraId="1D44A9A6" w14:textId="77777777" w:rsidR="00603ADE" w:rsidRPr="006C520E" w:rsidRDefault="00603ADE" w:rsidP="009A58A3">
            <w:pPr>
              <w:jc w:val="center"/>
              <w:rPr>
                <w:rFonts w:cs="Calibri"/>
                <w:szCs w:val="24"/>
              </w:rPr>
            </w:pPr>
            <w:r w:rsidRPr="006C520E">
              <w:rPr>
                <w:rFonts w:eastAsia="Times New Roman" w:cs="Calibri"/>
                <w:szCs w:val="24"/>
              </w:rPr>
              <w:t>-1.99</w:t>
            </w:r>
          </w:p>
        </w:tc>
        <w:tc>
          <w:tcPr>
            <w:tcW w:w="480" w:type="pct"/>
            <w:vAlign w:val="bottom"/>
          </w:tcPr>
          <w:p w14:paraId="6E2D14CD" w14:textId="77777777" w:rsidR="00603ADE" w:rsidRPr="006C520E" w:rsidRDefault="00603ADE" w:rsidP="009A58A3">
            <w:pPr>
              <w:jc w:val="center"/>
              <w:rPr>
                <w:rFonts w:cs="Calibri"/>
                <w:szCs w:val="24"/>
              </w:rPr>
            </w:pPr>
            <w:r w:rsidRPr="006C520E">
              <w:rPr>
                <w:rFonts w:eastAsia="Times New Roman" w:cs="Calibri"/>
                <w:szCs w:val="24"/>
              </w:rPr>
              <w:t>-1.85</w:t>
            </w:r>
          </w:p>
        </w:tc>
        <w:tc>
          <w:tcPr>
            <w:tcW w:w="480" w:type="pct"/>
            <w:vAlign w:val="bottom"/>
          </w:tcPr>
          <w:p w14:paraId="5283F1F6" w14:textId="77777777" w:rsidR="00603ADE" w:rsidRPr="006C520E" w:rsidRDefault="00603ADE" w:rsidP="009A58A3">
            <w:pPr>
              <w:jc w:val="center"/>
              <w:rPr>
                <w:rFonts w:cs="Calibri"/>
                <w:szCs w:val="24"/>
              </w:rPr>
            </w:pPr>
            <w:r w:rsidRPr="006C520E">
              <w:rPr>
                <w:rFonts w:eastAsia="Times New Roman" w:cs="Calibri"/>
                <w:szCs w:val="24"/>
              </w:rPr>
              <w:t>1.82</w:t>
            </w:r>
          </w:p>
        </w:tc>
        <w:tc>
          <w:tcPr>
            <w:tcW w:w="480" w:type="pct"/>
            <w:vAlign w:val="bottom"/>
          </w:tcPr>
          <w:p w14:paraId="2AE63D04" w14:textId="77777777" w:rsidR="00603ADE" w:rsidRPr="006C520E" w:rsidRDefault="00603ADE" w:rsidP="009A58A3">
            <w:pPr>
              <w:jc w:val="center"/>
              <w:rPr>
                <w:rFonts w:cs="Calibri"/>
                <w:szCs w:val="24"/>
              </w:rPr>
            </w:pPr>
            <w:r w:rsidRPr="006C520E">
              <w:rPr>
                <w:rFonts w:eastAsia="Times New Roman" w:cs="Calibri"/>
                <w:szCs w:val="24"/>
              </w:rPr>
              <w:t>-2.31</w:t>
            </w:r>
          </w:p>
        </w:tc>
        <w:tc>
          <w:tcPr>
            <w:tcW w:w="446" w:type="pct"/>
          </w:tcPr>
          <w:p w14:paraId="5DBF8357" w14:textId="77777777" w:rsidR="00603ADE" w:rsidRPr="006C520E" w:rsidRDefault="00603ADE" w:rsidP="009A58A3">
            <w:pPr>
              <w:jc w:val="center"/>
              <w:rPr>
                <w:rFonts w:eastAsia="Times New Roman" w:cs="Calibri"/>
                <w:szCs w:val="24"/>
              </w:rPr>
            </w:pPr>
            <w:r w:rsidRPr="006C520E">
              <w:rPr>
                <w:rFonts w:eastAsia="Times New Roman" w:cs="Calibri"/>
                <w:szCs w:val="24"/>
              </w:rPr>
              <w:t>-2.46</w:t>
            </w:r>
          </w:p>
        </w:tc>
        <w:tc>
          <w:tcPr>
            <w:tcW w:w="480" w:type="pct"/>
          </w:tcPr>
          <w:p w14:paraId="171E85FC" w14:textId="77777777" w:rsidR="00603ADE" w:rsidRPr="006C520E" w:rsidRDefault="00603ADE" w:rsidP="009A58A3">
            <w:pPr>
              <w:jc w:val="center"/>
              <w:rPr>
                <w:rFonts w:eastAsia="Times New Roman" w:cs="Calibri"/>
                <w:szCs w:val="24"/>
              </w:rPr>
            </w:pPr>
            <w:r w:rsidRPr="006C520E">
              <w:rPr>
                <w:rFonts w:eastAsia="Times New Roman" w:cs="Calibri"/>
                <w:szCs w:val="24"/>
              </w:rPr>
              <w:t>-6.63</w:t>
            </w:r>
            <w:r w:rsidRPr="006C520E">
              <w:rPr>
                <w:rFonts w:eastAsia="Times New Roman" w:cs="Calibri"/>
                <w:szCs w:val="24"/>
                <w:vertAlign w:val="superscript"/>
              </w:rPr>
              <w:t>***</w:t>
            </w:r>
          </w:p>
        </w:tc>
      </w:tr>
      <w:tr w:rsidR="00603ADE" w:rsidRPr="006C520E" w14:paraId="177D9EBF" w14:textId="77777777" w:rsidTr="009A58A3">
        <w:tc>
          <w:tcPr>
            <w:tcW w:w="423" w:type="pct"/>
            <w:vMerge/>
            <w:vAlign w:val="center"/>
          </w:tcPr>
          <w:p w14:paraId="68928D8B" w14:textId="77777777" w:rsidR="00603ADE" w:rsidRPr="006C520E" w:rsidRDefault="00603ADE" w:rsidP="009A58A3">
            <w:pPr>
              <w:jc w:val="left"/>
            </w:pPr>
          </w:p>
        </w:tc>
        <w:tc>
          <w:tcPr>
            <w:tcW w:w="328" w:type="pct"/>
          </w:tcPr>
          <w:p w14:paraId="594CEF0D" w14:textId="77777777" w:rsidR="00603ADE" w:rsidRPr="006C520E" w:rsidRDefault="00603ADE" w:rsidP="009A58A3">
            <w:pPr>
              <w:jc w:val="center"/>
              <w:rPr>
                <w:rFonts w:cs="Calibri"/>
                <w:szCs w:val="24"/>
              </w:rPr>
            </w:pPr>
            <w:proofErr w:type="gramStart"/>
            <w:r w:rsidRPr="006C520E">
              <w:t>I(</w:t>
            </w:r>
            <w:proofErr w:type="gramEnd"/>
            <w:r w:rsidRPr="006C520E">
              <w:t>1)</w:t>
            </w:r>
          </w:p>
        </w:tc>
        <w:tc>
          <w:tcPr>
            <w:tcW w:w="446" w:type="pct"/>
            <w:vAlign w:val="bottom"/>
          </w:tcPr>
          <w:p w14:paraId="777BB297" w14:textId="77777777" w:rsidR="00603ADE" w:rsidRPr="006C520E" w:rsidRDefault="00603ADE" w:rsidP="009A58A3">
            <w:pPr>
              <w:jc w:val="center"/>
              <w:rPr>
                <w:rFonts w:cs="Calibri"/>
                <w:szCs w:val="24"/>
              </w:rPr>
            </w:pPr>
            <w:r w:rsidRPr="006C520E">
              <w:rPr>
                <w:rFonts w:cs="Calibri"/>
                <w:szCs w:val="24"/>
              </w:rPr>
              <w:t>-3.35</w:t>
            </w:r>
            <w:r w:rsidRPr="006C520E">
              <w:rPr>
                <w:rFonts w:cs="Calibri"/>
                <w:szCs w:val="24"/>
                <w:vertAlign w:val="superscript"/>
              </w:rPr>
              <w:t>**</w:t>
            </w:r>
          </w:p>
        </w:tc>
        <w:tc>
          <w:tcPr>
            <w:tcW w:w="480" w:type="pct"/>
            <w:vAlign w:val="bottom"/>
          </w:tcPr>
          <w:p w14:paraId="5F7F4822" w14:textId="77777777" w:rsidR="00603ADE" w:rsidRPr="006C520E" w:rsidRDefault="00603ADE" w:rsidP="009A58A3">
            <w:pPr>
              <w:jc w:val="center"/>
              <w:rPr>
                <w:rFonts w:cs="Calibri"/>
                <w:szCs w:val="24"/>
                <w:vertAlign w:val="superscript"/>
              </w:rPr>
            </w:pPr>
            <w:r w:rsidRPr="006C520E">
              <w:rPr>
                <w:rFonts w:cs="Calibri"/>
                <w:szCs w:val="24"/>
              </w:rPr>
              <w:t>-3.01</w:t>
            </w:r>
            <w:r w:rsidRPr="006C520E">
              <w:rPr>
                <w:rFonts w:cs="Calibri"/>
                <w:szCs w:val="24"/>
                <w:vertAlign w:val="superscript"/>
              </w:rPr>
              <w:t>**</w:t>
            </w:r>
          </w:p>
        </w:tc>
        <w:tc>
          <w:tcPr>
            <w:tcW w:w="480" w:type="pct"/>
            <w:vAlign w:val="bottom"/>
          </w:tcPr>
          <w:p w14:paraId="30FF352A" w14:textId="77777777" w:rsidR="00603ADE" w:rsidRPr="006C520E" w:rsidRDefault="00603ADE" w:rsidP="009A58A3">
            <w:pPr>
              <w:jc w:val="center"/>
              <w:rPr>
                <w:rFonts w:cs="Calibri"/>
                <w:szCs w:val="24"/>
              </w:rPr>
            </w:pPr>
            <w:r w:rsidRPr="006C520E">
              <w:rPr>
                <w:rFonts w:cs="Calibri"/>
                <w:szCs w:val="24"/>
              </w:rPr>
              <w:t>-2.42</w:t>
            </w:r>
          </w:p>
        </w:tc>
        <w:tc>
          <w:tcPr>
            <w:tcW w:w="480" w:type="pct"/>
            <w:vAlign w:val="bottom"/>
          </w:tcPr>
          <w:p w14:paraId="49A76CEA" w14:textId="77777777" w:rsidR="00603ADE" w:rsidRPr="006C520E" w:rsidRDefault="00603ADE" w:rsidP="009A58A3">
            <w:pPr>
              <w:jc w:val="center"/>
              <w:rPr>
                <w:rFonts w:cs="Calibri"/>
                <w:szCs w:val="24"/>
              </w:rPr>
            </w:pPr>
            <w:r w:rsidRPr="006C520E">
              <w:rPr>
                <w:rFonts w:cs="Calibri"/>
                <w:szCs w:val="24"/>
              </w:rPr>
              <w:t>-2.54</w:t>
            </w:r>
          </w:p>
        </w:tc>
        <w:tc>
          <w:tcPr>
            <w:tcW w:w="480" w:type="pct"/>
            <w:vAlign w:val="bottom"/>
          </w:tcPr>
          <w:p w14:paraId="370A32FC" w14:textId="77777777" w:rsidR="00603ADE" w:rsidRPr="006C520E" w:rsidRDefault="00603ADE" w:rsidP="009A58A3">
            <w:pPr>
              <w:jc w:val="center"/>
              <w:rPr>
                <w:rFonts w:cs="Calibri"/>
                <w:szCs w:val="24"/>
              </w:rPr>
            </w:pPr>
            <w:r w:rsidRPr="006C520E">
              <w:rPr>
                <w:rFonts w:cs="Calibri"/>
                <w:szCs w:val="24"/>
              </w:rPr>
              <w:t>-2.77</w:t>
            </w:r>
            <w:r w:rsidRPr="006C520E">
              <w:rPr>
                <w:rFonts w:cs="Calibri"/>
                <w:szCs w:val="24"/>
                <w:vertAlign w:val="superscript"/>
              </w:rPr>
              <w:t>*</w:t>
            </w:r>
          </w:p>
        </w:tc>
        <w:tc>
          <w:tcPr>
            <w:tcW w:w="480" w:type="pct"/>
            <w:vAlign w:val="bottom"/>
          </w:tcPr>
          <w:p w14:paraId="1D52CF8E" w14:textId="77777777" w:rsidR="00603ADE" w:rsidRPr="006C520E" w:rsidRDefault="00603ADE" w:rsidP="009A58A3">
            <w:pPr>
              <w:jc w:val="center"/>
              <w:rPr>
                <w:rFonts w:cs="Calibri"/>
                <w:szCs w:val="24"/>
              </w:rPr>
            </w:pPr>
            <w:r w:rsidRPr="006C520E">
              <w:rPr>
                <w:rFonts w:cs="Calibri"/>
                <w:szCs w:val="24"/>
              </w:rPr>
              <w:t>-9.63</w:t>
            </w:r>
            <w:r w:rsidRPr="006C520E">
              <w:rPr>
                <w:rFonts w:cs="Calibri"/>
                <w:szCs w:val="24"/>
                <w:vertAlign w:val="superscript"/>
              </w:rPr>
              <w:t>***</w:t>
            </w:r>
          </w:p>
        </w:tc>
        <w:tc>
          <w:tcPr>
            <w:tcW w:w="480" w:type="pct"/>
            <w:vAlign w:val="bottom"/>
          </w:tcPr>
          <w:p w14:paraId="0CF1448B" w14:textId="77777777" w:rsidR="00603ADE" w:rsidRPr="006C520E" w:rsidRDefault="00603ADE" w:rsidP="009A58A3">
            <w:pPr>
              <w:jc w:val="center"/>
              <w:rPr>
                <w:rFonts w:cs="Calibri"/>
                <w:szCs w:val="24"/>
                <w:vertAlign w:val="superscript"/>
              </w:rPr>
            </w:pPr>
            <w:r w:rsidRPr="006C520E">
              <w:rPr>
                <w:rFonts w:cs="Calibri"/>
                <w:szCs w:val="24"/>
              </w:rPr>
              <w:t>-2.86</w:t>
            </w:r>
            <w:r w:rsidRPr="006C520E">
              <w:rPr>
                <w:rFonts w:cs="Calibri"/>
                <w:szCs w:val="24"/>
                <w:vertAlign w:val="superscript"/>
              </w:rPr>
              <w:t>*</w:t>
            </w:r>
          </w:p>
        </w:tc>
        <w:tc>
          <w:tcPr>
            <w:tcW w:w="446" w:type="pct"/>
          </w:tcPr>
          <w:p w14:paraId="1EDF46B0" w14:textId="77777777" w:rsidR="00603ADE" w:rsidRPr="006C520E" w:rsidRDefault="00603ADE" w:rsidP="009A58A3">
            <w:pPr>
              <w:jc w:val="center"/>
              <w:rPr>
                <w:rFonts w:cs="Calibri"/>
                <w:szCs w:val="24"/>
                <w:vertAlign w:val="superscript"/>
              </w:rPr>
            </w:pPr>
            <w:r w:rsidRPr="006C520E">
              <w:rPr>
                <w:rFonts w:eastAsia="Times New Roman" w:cs="Calibri"/>
                <w:szCs w:val="24"/>
              </w:rPr>
              <w:t>-3.04</w:t>
            </w:r>
            <w:r w:rsidRPr="006C520E">
              <w:rPr>
                <w:rFonts w:eastAsia="Times New Roman" w:cs="Calibri"/>
                <w:szCs w:val="24"/>
                <w:vertAlign w:val="superscript"/>
              </w:rPr>
              <w:t>**</w:t>
            </w:r>
          </w:p>
        </w:tc>
        <w:tc>
          <w:tcPr>
            <w:tcW w:w="480" w:type="pct"/>
          </w:tcPr>
          <w:p w14:paraId="76A79EA2" w14:textId="77777777" w:rsidR="00603ADE" w:rsidRPr="006C520E" w:rsidRDefault="00603ADE" w:rsidP="009A58A3">
            <w:pPr>
              <w:jc w:val="center"/>
              <w:rPr>
                <w:rFonts w:cs="Calibri"/>
                <w:szCs w:val="24"/>
              </w:rPr>
            </w:pPr>
            <w:r w:rsidRPr="006C520E">
              <w:rPr>
                <w:rFonts w:eastAsia="Times New Roman" w:cs="Calibri"/>
                <w:szCs w:val="24"/>
              </w:rPr>
              <w:t xml:space="preserve">– </w:t>
            </w:r>
          </w:p>
        </w:tc>
      </w:tr>
      <w:tr w:rsidR="00603ADE" w:rsidRPr="006C520E" w14:paraId="4456CB69" w14:textId="77777777" w:rsidTr="009A58A3">
        <w:tc>
          <w:tcPr>
            <w:tcW w:w="423" w:type="pct"/>
            <w:vMerge w:val="restart"/>
            <w:tcBorders>
              <w:bottom w:val="single" w:sz="4" w:space="0" w:color="auto"/>
            </w:tcBorders>
            <w:vAlign w:val="center"/>
          </w:tcPr>
          <w:p w14:paraId="493FBC75" w14:textId="77777777" w:rsidR="00603ADE" w:rsidRPr="006C520E" w:rsidRDefault="00603ADE" w:rsidP="009A58A3">
            <w:pPr>
              <w:jc w:val="left"/>
            </w:pPr>
            <w:r w:rsidRPr="006C520E">
              <w:t>KPSS</w:t>
            </w:r>
          </w:p>
        </w:tc>
        <w:tc>
          <w:tcPr>
            <w:tcW w:w="328" w:type="pct"/>
          </w:tcPr>
          <w:p w14:paraId="2D2DC1C0" w14:textId="77777777" w:rsidR="00603ADE" w:rsidRPr="006C520E" w:rsidRDefault="00603ADE" w:rsidP="009A58A3">
            <w:pPr>
              <w:jc w:val="center"/>
              <w:rPr>
                <w:rFonts w:cs="Calibri"/>
                <w:szCs w:val="24"/>
              </w:rPr>
            </w:pPr>
            <w:proofErr w:type="gramStart"/>
            <w:r w:rsidRPr="006C520E">
              <w:t>I(</w:t>
            </w:r>
            <w:proofErr w:type="gramEnd"/>
            <w:r w:rsidRPr="006C520E">
              <w:t>0)</w:t>
            </w:r>
          </w:p>
        </w:tc>
        <w:tc>
          <w:tcPr>
            <w:tcW w:w="446" w:type="pct"/>
            <w:vAlign w:val="bottom"/>
          </w:tcPr>
          <w:p w14:paraId="4F6EB625" w14:textId="77777777" w:rsidR="00603ADE" w:rsidRPr="006C520E" w:rsidRDefault="00603ADE" w:rsidP="009A58A3">
            <w:pPr>
              <w:jc w:val="center"/>
              <w:rPr>
                <w:rFonts w:cs="Calibri"/>
                <w:szCs w:val="24"/>
                <w:vertAlign w:val="superscript"/>
              </w:rPr>
            </w:pPr>
            <w:r w:rsidRPr="006C520E">
              <w:rPr>
                <w:rFonts w:cs="Calibri"/>
                <w:szCs w:val="24"/>
              </w:rPr>
              <w:t>1.39</w:t>
            </w:r>
            <w:r w:rsidRPr="006C520E">
              <w:rPr>
                <w:rFonts w:cs="Calibri"/>
                <w:szCs w:val="24"/>
                <w:vertAlign w:val="superscript"/>
              </w:rPr>
              <w:t>***</w:t>
            </w:r>
          </w:p>
        </w:tc>
        <w:tc>
          <w:tcPr>
            <w:tcW w:w="480" w:type="pct"/>
            <w:vAlign w:val="center"/>
          </w:tcPr>
          <w:p w14:paraId="654E89A6" w14:textId="77777777" w:rsidR="00603ADE" w:rsidRPr="006C520E" w:rsidRDefault="00603ADE" w:rsidP="009A58A3">
            <w:pPr>
              <w:jc w:val="center"/>
              <w:rPr>
                <w:rFonts w:eastAsiaTheme="minorEastAsia"/>
                <w:vertAlign w:val="superscript"/>
              </w:rPr>
            </w:pPr>
            <w:r w:rsidRPr="006C520E">
              <w:rPr>
                <w:rFonts w:eastAsiaTheme="minorEastAsia"/>
              </w:rPr>
              <w:t>0.76</w:t>
            </w:r>
            <w:r w:rsidRPr="006C520E">
              <w:rPr>
                <w:rFonts w:eastAsiaTheme="minorEastAsia"/>
                <w:vertAlign w:val="superscript"/>
              </w:rPr>
              <w:t>***</w:t>
            </w:r>
          </w:p>
        </w:tc>
        <w:tc>
          <w:tcPr>
            <w:tcW w:w="480" w:type="pct"/>
            <w:vAlign w:val="center"/>
          </w:tcPr>
          <w:p w14:paraId="110387D7" w14:textId="77777777" w:rsidR="00603ADE" w:rsidRPr="006C520E" w:rsidRDefault="00603ADE" w:rsidP="009A58A3">
            <w:pPr>
              <w:jc w:val="center"/>
            </w:pPr>
            <w:r w:rsidRPr="006C520E">
              <w:t>1.22</w:t>
            </w:r>
            <w:r w:rsidRPr="006C520E">
              <w:rPr>
                <w:rFonts w:eastAsiaTheme="minorEastAsia"/>
                <w:vertAlign w:val="superscript"/>
              </w:rPr>
              <w:t>***</w:t>
            </w:r>
          </w:p>
        </w:tc>
        <w:tc>
          <w:tcPr>
            <w:tcW w:w="480" w:type="pct"/>
            <w:vAlign w:val="bottom"/>
          </w:tcPr>
          <w:p w14:paraId="4F7EF11C" w14:textId="77777777" w:rsidR="00603ADE" w:rsidRPr="006C520E" w:rsidRDefault="00603ADE" w:rsidP="009A58A3">
            <w:pPr>
              <w:jc w:val="center"/>
            </w:pPr>
            <w:r w:rsidRPr="006C520E">
              <w:t>0.67</w:t>
            </w:r>
            <w:r w:rsidRPr="006C520E">
              <w:rPr>
                <w:rFonts w:eastAsiaTheme="minorEastAsia"/>
                <w:vertAlign w:val="superscript"/>
              </w:rPr>
              <w:t>***</w:t>
            </w:r>
          </w:p>
        </w:tc>
        <w:tc>
          <w:tcPr>
            <w:tcW w:w="480" w:type="pct"/>
            <w:vAlign w:val="center"/>
          </w:tcPr>
          <w:p w14:paraId="53F4AD3E" w14:textId="77777777" w:rsidR="00603ADE" w:rsidRPr="006C520E" w:rsidRDefault="00603ADE" w:rsidP="009A58A3">
            <w:pPr>
              <w:jc w:val="center"/>
            </w:pPr>
            <w:r w:rsidRPr="006C520E">
              <w:t>0.79</w:t>
            </w:r>
            <w:r w:rsidRPr="006C520E">
              <w:rPr>
                <w:rFonts w:eastAsiaTheme="minorEastAsia"/>
                <w:vertAlign w:val="superscript"/>
              </w:rPr>
              <w:t>***</w:t>
            </w:r>
          </w:p>
        </w:tc>
        <w:tc>
          <w:tcPr>
            <w:tcW w:w="480" w:type="pct"/>
            <w:vAlign w:val="center"/>
          </w:tcPr>
          <w:p w14:paraId="6CA6F6D7" w14:textId="77777777" w:rsidR="00603ADE" w:rsidRPr="006C520E" w:rsidRDefault="00603ADE" w:rsidP="009A58A3">
            <w:pPr>
              <w:jc w:val="center"/>
            </w:pPr>
            <w:r w:rsidRPr="006C520E">
              <w:t>1.26</w:t>
            </w:r>
            <w:r w:rsidRPr="006C520E">
              <w:rPr>
                <w:rFonts w:eastAsiaTheme="minorEastAsia"/>
                <w:vertAlign w:val="superscript"/>
              </w:rPr>
              <w:t>***</w:t>
            </w:r>
          </w:p>
        </w:tc>
        <w:tc>
          <w:tcPr>
            <w:tcW w:w="480" w:type="pct"/>
            <w:vAlign w:val="center"/>
          </w:tcPr>
          <w:p w14:paraId="5C5895B5" w14:textId="77777777" w:rsidR="00603ADE" w:rsidRPr="006C520E" w:rsidRDefault="00603ADE" w:rsidP="009A58A3">
            <w:pPr>
              <w:jc w:val="center"/>
            </w:pPr>
            <w:r w:rsidRPr="006C520E">
              <w:t>1.42</w:t>
            </w:r>
            <w:r w:rsidRPr="006C520E">
              <w:rPr>
                <w:rFonts w:eastAsiaTheme="minorEastAsia"/>
                <w:vertAlign w:val="superscript"/>
              </w:rPr>
              <w:t>***</w:t>
            </w:r>
          </w:p>
        </w:tc>
        <w:tc>
          <w:tcPr>
            <w:tcW w:w="446" w:type="pct"/>
          </w:tcPr>
          <w:p w14:paraId="4D74277B" w14:textId="77777777" w:rsidR="00603ADE" w:rsidRPr="006C520E" w:rsidRDefault="00603ADE" w:rsidP="009A58A3">
            <w:pPr>
              <w:jc w:val="center"/>
              <w:rPr>
                <w:vertAlign w:val="superscript"/>
              </w:rPr>
            </w:pPr>
            <w:r w:rsidRPr="006C520E">
              <w:t>0.47</w:t>
            </w:r>
            <w:r w:rsidRPr="006C520E">
              <w:rPr>
                <w:vertAlign w:val="superscript"/>
              </w:rPr>
              <w:t>**</w:t>
            </w:r>
          </w:p>
        </w:tc>
        <w:tc>
          <w:tcPr>
            <w:tcW w:w="480" w:type="pct"/>
          </w:tcPr>
          <w:p w14:paraId="7C1B74A5" w14:textId="77777777" w:rsidR="00603ADE" w:rsidRPr="006C520E" w:rsidRDefault="00603ADE" w:rsidP="009A58A3">
            <w:pPr>
              <w:jc w:val="center"/>
              <w:rPr>
                <w:vertAlign w:val="superscript"/>
              </w:rPr>
            </w:pPr>
            <w:r w:rsidRPr="006C520E">
              <w:t>0.39</w:t>
            </w:r>
            <w:r w:rsidRPr="006C520E">
              <w:rPr>
                <w:vertAlign w:val="superscript"/>
              </w:rPr>
              <w:t>*</w:t>
            </w:r>
          </w:p>
        </w:tc>
      </w:tr>
      <w:tr w:rsidR="00603ADE" w:rsidRPr="006C520E" w14:paraId="64DCCFBA" w14:textId="77777777" w:rsidTr="009A58A3">
        <w:tc>
          <w:tcPr>
            <w:tcW w:w="423" w:type="pct"/>
            <w:vMerge/>
            <w:tcBorders>
              <w:bottom w:val="single" w:sz="4" w:space="0" w:color="auto"/>
            </w:tcBorders>
            <w:vAlign w:val="center"/>
          </w:tcPr>
          <w:p w14:paraId="50C66385" w14:textId="77777777" w:rsidR="00603ADE" w:rsidRPr="006C520E" w:rsidRDefault="00603ADE" w:rsidP="009A58A3">
            <w:pPr>
              <w:jc w:val="left"/>
            </w:pPr>
          </w:p>
        </w:tc>
        <w:tc>
          <w:tcPr>
            <w:tcW w:w="328" w:type="pct"/>
            <w:tcBorders>
              <w:bottom w:val="single" w:sz="4" w:space="0" w:color="auto"/>
            </w:tcBorders>
          </w:tcPr>
          <w:p w14:paraId="65E4C021" w14:textId="77777777" w:rsidR="00603ADE" w:rsidRPr="006C520E" w:rsidRDefault="00603ADE" w:rsidP="009A58A3">
            <w:pPr>
              <w:jc w:val="center"/>
              <w:rPr>
                <w:rFonts w:cs="Calibri"/>
                <w:szCs w:val="24"/>
              </w:rPr>
            </w:pPr>
            <w:proofErr w:type="gramStart"/>
            <w:r w:rsidRPr="006C520E">
              <w:t>I(</w:t>
            </w:r>
            <w:proofErr w:type="gramEnd"/>
            <w:r w:rsidRPr="006C520E">
              <w:t>1)</w:t>
            </w:r>
          </w:p>
        </w:tc>
        <w:tc>
          <w:tcPr>
            <w:tcW w:w="446" w:type="pct"/>
            <w:tcBorders>
              <w:bottom w:val="single" w:sz="4" w:space="0" w:color="auto"/>
            </w:tcBorders>
            <w:vAlign w:val="bottom"/>
          </w:tcPr>
          <w:p w14:paraId="13AB9186" w14:textId="77777777" w:rsidR="00603ADE" w:rsidRPr="006C520E" w:rsidRDefault="00603ADE" w:rsidP="009A58A3">
            <w:pPr>
              <w:jc w:val="center"/>
              <w:rPr>
                <w:rFonts w:cs="Calibri"/>
                <w:szCs w:val="24"/>
              </w:rPr>
            </w:pPr>
            <w:r w:rsidRPr="006C520E">
              <w:rPr>
                <w:rFonts w:cs="Calibri"/>
                <w:szCs w:val="24"/>
              </w:rPr>
              <w:t>0.25</w:t>
            </w:r>
          </w:p>
        </w:tc>
        <w:tc>
          <w:tcPr>
            <w:tcW w:w="480" w:type="pct"/>
            <w:tcBorders>
              <w:bottom w:val="single" w:sz="4" w:space="0" w:color="auto"/>
            </w:tcBorders>
            <w:vAlign w:val="bottom"/>
          </w:tcPr>
          <w:p w14:paraId="37FA8BDC" w14:textId="77777777" w:rsidR="00603ADE" w:rsidRPr="006C520E" w:rsidRDefault="00603ADE" w:rsidP="009A58A3">
            <w:pPr>
              <w:jc w:val="center"/>
            </w:pPr>
            <w:r w:rsidRPr="006C520E">
              <w:t>0.06</w:t>
            </w:r>
          </w:p>
        </w:tc>
        <w:tc>
          <w:tcPr>
            <w:tcW w:w="480" w:type="pct"/>
            <w:tcBorders>
              <w:bottom w:val="single" w:sz="4" w:space="0" w:color="auto"/>
            </w:tcBorders>
            <w:vAlign w:val="center"/>
          </w:tcPr>
          <w:p w14:paraId="21D44A05" w14:textId="77777777" w:rsidR="00603ADE" w:rsidRPr="006C520E" w:rsidRDefault="00603ADE" w:rsidP="009A58A3">
            <w:pPr>
              <w:jc w:val="center"/>
            </w:pPr>
            <w:r w:rsidRPr="006C520E">
              <w:t>0.08</w:t>
            </w:r>
          </w:p>
        </w:tc>
        <w:tc>
          <w:tcPr>
            <w:tcW w:w="480" w:type="pct"/>
            <w:tcBorders>
              <w:bottom w:val="single" w:sz="4" w:space="0" w:color="auto"/>
            </w:tcBorders>
          </w:tcPr>
          <w:p w14:paraId="68286626" w14:textId="77777777" w:rsidR="00603ADE" w:rsidRPr="006C520E" w:rsidRDefault="00603ADE" w:rsidP="009A58A3">
            <w:pPr>
              <w:jc w:val="center"/>
            </w:pPr>
            <w:r w:rsidRPr="006C520E">
              <w:t>0.17</w:t>
            </w:r>
          </w:p>
        </w:tc>
        <w:tc>
          <w:tcPr>
            <w:tcW w:w="480" w:type="pct"/>
            <w:tcBorders>
              <w:bottom w:val="single" w:sz="4" w:space="0" w:color="auto"/>
            </w:tcBorders>
            <w:vAlign w:val="center"/>
          </w:tcPr>
          <w:p w14:paraId="70E3B2D1" w14:textId="77777777" w:rsidR="00603ADE" w:rsidRPr="006C520E" w:rsidRDefault="00603ADE" w:rsidP="009A58A3">
            <w:pPr>
              <w:jc w:val="center"/>
            </w:pPr>
            <w:r w:rsidRPr="006C520E">
              <w:t>0.04</w:t>
            </w:r>
          </w:p>
        </w:tc>
        <w:tc>
          <w:tcPr>
            <w:tcW w:w="480" w:type="pct"/>
            <w:tcBorders>
              <w:bottom w:val="single" w:sz="4" w:space="0" w:color="auto"/>
            </w:tcBorders>
            <w:vAlign w:val="center"/>
          </w:tcPr>
          <w:p w14:paraId="6A4FF528" w14:textId="77777777" w:rsidR="00603ADE" w:rsidRPr="006C520E" w:rsidRDefault="00603ADE" w:rsidP="009A58A3">
            <w:pPr>
              <w:jc w:val="center"/>
            </w:pPr>
            <w:r w:rsidRPr="006C520E">
              <w:t>0.09</w:t>
            </w:r>
          </w:p>
        </w:tc>
        <w:tc>
          <w:tcPr>
            <w:tcW w:w="480" w:type="pct"/>
            <w:tcBorders>
              <w:bottom w:val="single" w:sz="4" w:space="0" w:color="auto"/>
            </w:tcBorders>
            <w:vAlign w:val="center"/>
          </w:tcPr>
          <w:p w14:paraId="187CFBD7" w14:textId="77777777" w:rsidR="00603ADE" w:rsidRPr="006C520E" w:rsidRDefault="00603ADE" w:rsidP="009A58A3">
            <w:pPr>
              <w:jc w:val="center"/>
            </w:pPr>
            <w:r w:rsidRPr="006C520E">
              <w:t>0.16</w:t>
            </w:r>
          </w:p>
        </w:tc>
        <w:tc>
          <w:tcPr>
            <w:tcW w:w="446" w:type="pct"/>
            <w:tcBorders>
              <w:bottom w:val="single" w:sz="4" w:space="0" w:color="auto"/>
            </w:tcBorders>
          </w:tcPr>
          <w:p w14:paraId="0DD627B2" w14:textId="77777777" w:rsidR="00603ADE" w:rsidRPr="006C520E" w:rsidRDefault="00603ADE" w:rsidP="009A58A3">
            <w:pPr>
              <w:jc w:val="center"/>
            </w:pPr>
            <w:r w:rsidRPr="006C520E">
              <w:t>0.05</w:t>
            </w:r>
          </w:p>
        </w:tc>
        <w:tc>
          <w:tcPr>
            <w:tcW w:w="480" w:type="pct"/>
            <w:tcBorders>
              <w:bottom w:val="single" w:sz="4" w:space="0" w:color="auto"/>
            </w:tcBorders>
          </w:tcPr>
          <w:p w14:paraId="6BBDA12B" w14:textId="77777777" w:rsidR="00603ADE" w:rsidRPr="006C520E" w:rsidRDefault="00603ADE" w:rsidP="009A58A3">
            <w:pPr>
              <w:jc w:val="center"/>
            </w:pPr>
            <w:r w:rsidRPr="006C520E">
              <w:t>0.07</w:t>
            </w:r>
          </w:p>
        </w:tc>
      </w:tr>
    </w:tbl>
    <w:p w14:paraId="0619FC00" w14:textId="77777777" w:rsidR="00603ADE" w:rsidRPr="006C520E" w:rsidRDefault="00603ADE" w:rsidP="00603ADE">
      <w:pPr>
        <w:spacing w:after="0"/>
        <w:rPr>
          <w:sz w:val="20"/>
          <w:szCs w:val="18"/>
        </w:rPr>
      </w:pPr>
      <w:r w:rsidRPr="006C520E">
        <w:rPr>
          <w:b/>
          <w:sz w:val="20"/>
          <w:szCs w:val="20"/>
        </w:rPr>
        <w:t>Notes:</w:t>
      </w:r>
      <w:r w:rsidRPr="006C520E">
        <w:rPr>
          <w:sz w:val="20"/>
          <w:szCs w:val="20"/>
        </w:rPr>
        <w:t xml:space="preserve"> Asterisks (</w:t>
      </w:r>
      <w:r w:rsidRPr="006C520E">
        <w:rPr>
          <w:sz w:val="20"/>
          <w:szCs w:val="20"/>
          <w:vertAlign w:val="superscript"/>
        </w:rPr>
        <w:t>***</w:t>
      </w:r>
      <w:r w:rsidRPr="006C520E">
        <w:rPr>
          <w:sz w:val="20"/>
          <w:szCs w:val="20"/>
        </w:rPr>
        <w:t>), (</w:t>
      </w:r>
      <w:r w:rsidRPr="006C520E">
        <w:rPr>
          <w:sz w:val="20"/>
          <w:szCs w:val="20"/>
          <w:vertAlign w:val="superscript"/>
        </w:rPr>
        <w:t>**</w:t>
      </w:r>
      <w:r w:rsidRPr="006C520E">
        <w:rPr>
          <w:sz w:val="20"/>
          <w:szCs w:val="20"/>
        </w:rPr>
        <w:t>), and (</w:t>
      </w:r>
      <w:r w:rsidRPr="006C520E">
        <w:rPr>
          <w:sz w:val="20"/>
          <w:szCs w:val="20"/>
          <w:vertAlign w:val="superscript"/>
        </w:rPr>
        <w:t>*</w:t>
      </w:r>
      <w:r w:rsidRPr="006C520E">
        <w:rPr>
          <w:sz w:val="20"/>
          <w:szCs w:val="20"/>
        </w:rPr>
        <w:t xml:space="preserve">) denotes statistical significance at 1%, 5% and 10% levels, respectively. </w:t>
      </w:r>
      <w:proofErr w:type="gramStart"/>
      <w:r w:rsidRPr="006C520E">
        <w:rPr>
          <w:sz w:val="20"/>
          <w:szCs w:val="20"/>
        </w:rPr>
        <w:t>I(</w:t>
      </w:r>
      <w:proofErr w:type="gramEnd"/>
      <m:oMath>
        <m:r>
          <w:rPr>
            <w:rFonts w:ascii="Cambria Math" w:hAnsi="Cambria Math"/>
            <w:sz w:val="20"/>
            <w:szCs w:val="20"/>
          </w:rPr>
          <m:t>d</m:t>
        </m:r>
      </m:oMath>
      <w:r w:rsidRPr="006C520E">
        <w:rPr>
          <w:sz w:val="20"/>
          <w:szCs w:val="20"/>
        </w:rPr>
        <w:t>) is the order of integration – I(0) is level and I(1) is first difference.</w:t>
      </w:r>
      <w:r w:rsidRPr="006C520E">
        <w:rPr>
          <w:sz w:val="16"/>
          <w:szCs w:val="16"/>
        </w:rPr>
        <w:t xml:space="preserve"> The </w:t>
      </w:r>
      <w:r w:rsidRPr="006C520E">
        <w:rPr>
          <w:sz w:val="20"/>
          <w:szCs w:val="18"/>
        </w:rPr>
        <w:t xml:space="preserve">ADF and PP tests </w:t>
      </w:r>
      <w:bookmarkStart w:id="1" w:name="_Hlk179241768"/>
      <w:r w:rsidRPr="006C520E">
        <w:rPr>
          <w:sz w:val="20"/>
          <w:szCs w:val="18"/>
        </w:rPr>
        <w:t xml:space="preserve">the null of a unit root against the stationary alternative, while the KPSS tests the null of stationarity against unit root alternative. </w:t>
      </w:r>
      <w:bookmarkEnd w:id="1"/>
      <w:r w:rsidRPr="006C520E">
        <w:rPr>
          <w:sz w:val="20"/>
          <w:szCs w:val="20"/>
        </w:rPr>
        <w:t xml:space="preserve">All tests are conducted with intercept (random walk with drift). The optimal lag-length is determined by Schwarz’s (1978) information criteria, </w:t>
      </w:r>
      <w:r w:rsidRPr="006C520E">
        <w:rPr>
          <w:sz w:val="20"/>
          <w:szCs w:val="18"/>
        </w:rPr>
        <w:t xml:space="preserve">while Bartlett kernel and the Newey-West methods are adopted for PP and KPSS tests. </w:t>
      </w:r>
      <w:r w:rsidRPr="006C520E">
        <w:rPr>
          <w:sz w:val="20"/>
          <w:szCs w:val="20"/>
        </w:rPr>
        <w:t xml:space="preserve">MacKinnon’s (1996) critical values (CV) for ADF and PP tests are given as: -3.48 (1%), -2.883 (5%) and -2.579 (10%). </w:t>
      </w:r>
      <w:r w:rsidRPr="006C520E">
        <w:rPr>
          <w:sz w:val="20"/>
          <w:szCs w:val="18"/>
        </w:rPr>
        <w:t>KPSS’s CV are: 0.739 (1%), 0.463 (5%), and 0.347 (10%).</w:t>
      </w:r>
    </w:p>
    <w:p w14:paraId="2DE52EEB" w14:textId="1C7BC364" w:rsidR="00603ADE" w:rsidRPr="006C520E" w:rsidRDefault="00603ADE" w:rsidP="00603ADE">
      <w:pPr>
        <w:spacing w:before="240" w:after="0"/>
      </w:pPr>
      <w:r w:rsidRPr="006C520E">
        <w:rPr>
          <w:b/>
        </w:rPr>
        <w:t xml:space="preserve">Table </w:t>
      </w:r>
      <w:r w:rsidR="00032BD1" w:rsidRPr="006C520E">
        <w:rPr>
          <w:b/>
        </w:rPr>
        <w:t>3</w:t>
      </w:r>
      <w:r w:rsidRPr="006C520E">
        <w:t xml:space="preserve"> Results of bootstrap ARDL bounds-testing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7"/>
        <w:gridCol w:w="1011"/>
        <w:gridCol w:w="915"/>
        <w:gridCol w:w="1011"/>
        <w:gridCol w:w="824"/>
        <w:gridCol w:w="719"/>
        <w:gridCol w:w="747"/>
        <w:gridCol w:w="779"/>
        <w:gridCol w:w="824"/>
        <w:gridCol w:w="683"/>
      </w:tblGrid>
      <w:tr w:rsidR="00603ADE" w:rsidRPr="006C520E" w14:paraId="5C417906" w14:textId="77777777" w:rsidTr="009A58A3">
        <w:tc>
          <w:tcPr>
            <w:tcW w:w="987" w:type="pct"/>
            <w:vMerge w:val="restart"/>
            <w:tcBorders>
              <w:top w:val="single" w:sz="4" w:space="0" w:color="auto"/>
            </w:tcBorders>
            <w:vAlign w:val="center"/>
          </w:tcPr>
          <w:p w14:paraId="4C45B993" w14:textId="77777777" w:rsidR="00603ADE" w:rsidRPr="006C520E" w:rsidRDefault="00603ADE" w:rsidP="009A58A3">
            <w:pPr>
              <w:jc w:val="left"/>
              <w:rPr>
                <w:szCs w:val="24"/>
              </w:rPr>
            </w:pPr>
            <w:r w:rsidRPr="006C520E">
              <w:rPr>
                <w:szCs w:val="24"/>
              </w:rPr>
              <w:t>Models</w:t>
            </w:r>
          </w:p>
        </w:tc>
        <w:tc>
          <w:tcPr>
            <w:tcW w:w="540" w:type="pct"/>
            <w:vMerge w:val="restart"/>
            <w:tcBorders>
              <w:top w:val="single" w:sz="4" w:space="0" w:color="auto"/>
            </w:tcBorders>
            <w:vAlign w:val="center"/>
          </w:tcPr>
          <w:p w14:paraId="29ED0BD4" w14:textId="77777777" w:rsidR="00603ADE" w:rsidRPr="006C520E" w:rsidRDefault="00000000" w:rsidP="009A58A3">
            <w:pPr>
              <w:jc w:val="center"/>
              <w:rPr>
                <w:szCs w:val="24"/>
              </w:rPr>
            </w:pPr>
            <m:oMathPara>
              <m:oMath>
                <m:sSub>
                  <m:sSubPr>
                    <m:ctrlPr>
                      <w:rPr>
                        <w:rFonts w:ascii="Cambria Math" w:hAnsi="Cambria Math"/>
                        <w:i/>
                        <w:szCs w:val="24"/>
                        <w:vertAlign w:val="subscript"/>
                      </w:rPr>
                    </m:ctrlPr>
                  </m:sSubPr>
                  <m:e>
                    <m:r>
                      <w:rPr>
                        <w:rFonts w:ascii="Cambria Math" w:hAnsi="Cambria Math"/>
                        <w:szCs w:val="24"/>
                      </w:rPr>
                      <m:t>F</m:t>
                    </m:r>
                    <m:ctrlPr>
                      <w:rPr>
                        <w:rFonts w:ascii="Cambria Math" w:hAnsi="Cambria Math"/>
                        <w:i/>
                        <w:szCs w:val="24"/>
                      </w:rPr>
                    </m:ctrlPr>
                  </m:e>
                  <m:sub>
                    <m:r>
                      <w:rPr>
                        <w:rFonts w:ascii="Cambria Math" w:hAnsi="Cambria Math"/>
                        <w:szCs w:val="24"/>
                        <w:vertAlign w:val="subscript"/>
                      </w:rPr>
                      <m:t>1</m:t>
                    </m:r>
                  </m:sub>
                </m:sSub>
              </m:oMath>
            </m:oMathPara>
          </w:p>
        </w:tc>
        <w:tc>
          <w:tcPr>
            <w:tcW w:w="489" w:type="pct"/>
            <w:vMerge w:val="restart"/>
            <w:tcBorders>
              <w:top w:val="single" w:sz="4" w:space="0" w:color="auto"/>
            </w:tcBorders>
            <w:vAlign w:val="center"/>
          </w:tcPr>
          <w:p w14:paraId="05EB8C2D" w14:textId="77777777" w:rsidR="00603ADE" w:rsidRPr="006C520E" w:rsidRDefault="00603ADE" w:rsidP="009A58A3">
            <w:pPr>
              <w:jc w:val="center"/>
              <w:rPr>
                <w:szCs w:val="24"/>
              </w:rPr>
            </w:pPr>
            <m:oMathPara>
              <m:oMath>
                <m:r>
                  <w:rPr>
                    <w:rFonts w:ascii="Cambria Math" w:hAnsi="Cambria Math"/>
                    <w:szCs w:val="24"/>
                    <w:vertAlign w:val="subscript"/>
                  </w:rPr>
                  <m:t>t</m:t>
                </m:r>
              </m:oMath>
            </m:oMathPara>
          </w:p>
        </w:tc>
        <w:tc>
          <w:tcPr>
            <w:tcW w:w="540" w:type="pct"/>
            <w:vMerge w:val="restart"/>
            <w:tcBorders>
              <w:top w:val="single" w:sz="4" w:space="0" w:color="auto"/>
            </w:tcBorders>
            <w:vAlign w:val="center"/>
          </w:tcPr>
          <w:p w14:paraId="386D4AC1" w14:textId="77777777" w:rsidR="00603ADE" w:rsidRPr="006C520E" w:rsidRDefault="00000000" w:rsidP="009A58A3">
            <w:pPr>
              <w:jc w:val="center"/>
              <w:rPr>
                <w:szCs w:val="24"/>
              </w:rPr>
            </w:pPr>
            <m:oMathPara>
              <m:oMath>
                <m:sSub>
                  <m:sSubPr>
                    <m:ctrlPr>
                      <w:rPr>
                        <w:rFonts w:ascii="Cambria Math" w:hAnsi="Cambria Math"/>
                        <w:i/>
                        <w:szCs w:val="24"/>
                        <w:vertAlign w:val="subscript"/>
                      </w:rPr>
                    </m:ctrlPr>
                  </m:sSubPr>
                  <m:e>
                    <m:r>
                      <w:rPr>
                        <w:rFonts w:ascii="Cambria Math" w:hAnsi="Cambria Math"/>
                        <w:szCs w:val="24"/>
                      </w:rPr>
                      <m:t>F</m:t>
                    </m:r>
                    <m:ctrlPr>
                      <w:rPr>
                        <w:rFonts w:ascii="Cambria Math" w:hAnsi="Cambria Math"/>
                        <w:i/>
                        <w:szCs w:val="24"/>
                      </w:rPr>
                    </m:ctrlPr>
                  </m:e>
                  <m:sub>
                    <m:r>
                      <w:rPr>
                        <w:rFonts w:ascii="Cambria Math" w:hAnsi="Cambria Math"/>
                        <w:szCs w:val="24"/>
                      </w:rPr>
                      <m:t>2</m:t>
                    </m:r>
                  </m:sub>
                </m:sSub>
              </m:oMath>
            </m:oMathPara>
          </w:p>
        </w:tc>
        <w:tc>
          <w:tcPr>
            <w:tcW w:w="2444" w:type="pct"/>
            <w:gridSpan w:val="6"/>
            <w:tcBorders>
              <w:top w:val="single" w:sz="4" w:space="0" w:color="auto"/>
              <w:bottom w:val="single" w:sz="4" w:space="0" w:color="auto"/>
            </w:tcBorders>
            <w:vAlign w:val="center"/>
          </w:tcPr>
          <w:p w14:paraId="53D98EA0" w14:textId="77777777" w:rsidR="00603ADE" w:rsidRPr="006C520E" w:rsidRDefault="00603ADE" w:rsidP="009A58A3">
            <w:pPr>
              <w:jc w:val="center"/>
              <w:rPr>
                <w:szCs w:val="24"/>
              </w:rPr>
            </w:pPr>
            <w:r w:rsidRPr="006C520E">
              <w:rPr>
                <w:szCs w:val="24"/>
              </w:rPr>
              <w:t>Bootstrap-generated CVs</w:t>
            </w:r>
          </w:p>
        </w:tc>
      </w:tr>
      <w:tr w:rsidR="00603ADE" w:rsidRPr="006C520E" w14:paraId="1AE221D3" w14:textId="77777777" w:rsidTr="009A58A3">
        <w:tc>
          <w:tcPr>
            <w:tcW w:w="987" w:type="pct"/>
            <w:vMerge/>
            <w:tcBorders>
              <w:bottom w:val="single" w:sz="4" w:space="0" w:color="auto"/>
            </w:tcBorders>
          </w:tcPr>
          <w:p w14:paraId="56CCC068" w14:textId="77777777" w:rsidR="00603ADE" w:rsidRPr="006C520E" w:rsidRDefault="00603ADE" w:rsidP="009A58A3">
            <w:pPr>
              <w:rPr>
                <w:szCs w:val="24"/>
              </w:rPr>
            </w:pPr>
          </w:p>
        </w:tc>
        <w:tc>
          <w:tcPr>
            <w:tcW w:w="540" w:type="pct"/>
            <w:vMerge/>
            <w:tcBorders>
              <w:bottom w:val="single" w:sz="4" w:space="0" w:color="auto"/>
            </w:tcBorders>
          </w:tcPr>
          <w:p w14:paraId="07FE3ED6" w14:textId="77777777" w:rsidR="00603ADE" w:rsidRPr="006C520E" w:rsidRDefault="00603ADE" w:rsidP="009A58A3">
            <w:pPr>
              <w:rPr>
                <w:rFonts w:eastAsia="Calibri" w:cs="Times New Roman"/>
                <w:szCs w:val="24"/>
                <w:vertAlign w:val="subscript"/>
              </w:rPr>
            </w:pPr>
          </w:p>
        </w:tc>
        <w:tc>
          <w:tcPr>
            <w:tcW w:w="489" w:type="pct"/>
            <w:vMerge/>
            <w:tcBorders>
              <w:bottom w:val="single" w:sz="4" w:space="0" w:color="auto"/>
            </w:tcBorders>
          </w:tcPr>
          <w:p w14:paraId="3FBD3E2E" w14:textId="77777777" w:rsidR="00603ADE" w:rsidRPr="006C520E" w:rsidRDefault="00603ADE" w:rsidP="009A58A3">
            <w:pPr>
              <w:rPr>
                <w:rFonts w:eastAsia="Calibri" w:cs="Times New Roman"/>
                <w:szCs w:val="24"/>
                <w:vertAlign w:val="subscript"/>
              </w:rPr>
            </w:pPr>
          </w:p>
        </w:tc>
        <w:tc>
          <w:tcPr>
            <w:tcW w:w="540" w:type="pct"/>
            <w:vMerge/>
            <w:tcBorders>
              <w:bottom w:val="single" w:sz="4" w:space="0" w:color="auto"/>
            </w:tcBorders>
          </w:tcPr>
          <w:p w14:paraId="5A074B84" w14:textId="77777777" w:rsidR="00603ADE" w:rsidRPr="006C520E" w:rsidRDefault="00603ADE" w:rsidP="009A58A3">
            <w:pPr>
              <w:rPr>
                <w:rFonts w:eastAsia="Calibri" w:cs="Times New Roman"/>
                <w:szCs w:val="24"/>
                <w:vertAlign w:val="subscript"/>
              </w:rPr>
            </w:pPr>
          </w:p>
        </w:tc>
        <w:tc>
          <w:tcPr>
            <w:tcW w:w="440" w:type="pct"/>
            <w:tcBorders>
              <w:top w:val="single" w:sz="4" w:space="0" w:color="auto"/>
              <w:bottom w:val="single" w:sz="4" w:space="0" w:color="auto"/>
            </w:tcBorders>
          </w:tcPr>
          <w:p w14:paraId="64E8FADE" w14:textId="77777777" w:rsidR="00603ADE" w:rsidRPr="006C520E" w:rsidRDefault="00000000" w:rsidP="009A58A3">
            <w:pPr>
              <w:rPr>
                <w:rFonts w:eastAsia="Calibri" w:cs="Times New Roman"/>
                <w:szCs w:val="24"/>
                <w:vertAlign w:val="subscript"/>
              </w:rPr>
            </w:pPr>
            <m:oMathPara>
              <m:oMath>
                <m:sSubSup>
                  <m:sSubSupPr>
                    <m:ctrlPr>
                      <w:rPr>
                        <w:rFonts w:ascii="Cambria Math" w:hAnsi="Cambria Math"/>
                        <w:i/>
                        <w:szCs w:val="24"/>
                        <w:vertAlign w:val="subscript"/>
                      </w:rPr>
                    </m:ctrlPr>
                  </m:sSubSupPr>
                  <m:e>
                    <m:r>
                      <w:rPr>
                        <w:rFonts w:ascii="Cambria Math" w:hAnsi="Cambria Math"/>
                        <w:szCs w:val="24"/>
                      </w:rPr>
                      <m:t>F</m:t>
                    </m:r>
                    <m:ctrlPr>
                      <w:rPr>
                        <w:rFonts w:ascii="Cambria Math" w:hAnsi="Cambria Math"/>
                        <w:i/>
                        <w:szCs w:val="24"/>
                      </w:rPr>
                    </m:ctrlPr>
                  </m:e>
                  <m:sub>
                    <m:r>
                      <w:rPr>
                        <w:rFonts w:ascii="Cambria Math" w:hAnsi="Cambria Math"/>
                        <w:szCs w:val="24"/>
                      </w:rPr>
                      <m:t>1</m:t>
                    </m:r>
                    <m:ctrlPr>
                      <w:rPr>
                        <w:rFonts w:ascii="Cambria Math" w:hAnsi="Cambria Math"/>
                        <w:i/>
                        <w:szCs w:val="24"/>
                      </w:rPr>
                    </m:ctrlPr>
                  </m:sub>
                  <m:sup>
                    <m:r>
                      <w:rPr>
                        <w:rFonts w:ascii="Cambria Math" w:hAnsi="Cambria Math"/>
                        <w:szCs w:val="24"/>
                      </w:rPr>
                      <m:t>'</m:t>
                    </m:r>
                  </m:sup>
                </m:sSubSup>
              </m:oMath>
            </m:oMathPara>
          </w:p>
        </w:tc>
        <w:tc>
          <w:tcPr>
            <w:tcW w:w="384" w:type="pct"/>
            <w:tcBorders>
              <w:top w:val="single" w:sz="4" w:space="0" w:color="auto"/>
              <w:bottom w:val="single" w:sz="4" w:space="0" w:color="auto"/>
            </w:tcBorders>
          </w:tcPr>
          <w:p w14:paraId="58ECF069" w14:textId="77777777" w:rsidR="00603ADE" w:rsidRPr="006C520E" w:rsidRDefault="00000000" w:rsidP="009A58A3">
            <w:pPr>
              <w:rPr>
                <w:rFonts w:eastAsia="Calibri" w:cs="Times New Roman"/>
                <w:szCs w:val="24"/>
                <w:vertAlign w:val="subscript"/>
              </w:rPr>
            </w:pPr>
            <m:oMathPara>
              <m:oMath>
                <m:sSubSup>
                  <m:sSubSupPr>
                    <m:ctrlPr>
                      <w:rPr>
                        <w:rFonts w:ascii="Cambria Math" w:hAnsi="Cambria Math"/>
                        <w:i/>
                        <w:szCs w:val="24"/>
                        <w:vertAlign w:val="subscript"/>
                      </w:rPr>
                    </m:ctrlPr>
                  </m:sSubSupPr>
                  <m:e>
                    <m:r>
                      <w:rPr>
                        <w:rFonts w:ascii="Cambria Math" w:hAnsi="Cambria Math"/>
                        <w:szCs w:val="24"/>
                      </w:rPr>
                      <m:t>F</m:t>
                    </m:r>
                    <m:ctrlPr>
                      <w:rPr>
                        <w:rFonts w:ascii="Cambria Math" w:hAnsi="Cambria Math"/>
                        <w:i/>
                        <w:szCs w:val="24"/>
                      </w:rPr>
                    </m:ctrlPr>
                  </m:e>
                  <m:sub>
                    <m:r>
                      <w:rPr>
                        <w:rFonts w:ascii="Cambria Math" w:hAnsi="Cambria Math"/>
                        <w:szCs w:val="24"/>
                      </w:rPr>
                      <m:t>1</m:t>
                    </m:r>
                    <m:ctrlPr>
                      <w:rPr>
                        <w:rFonts w:ascii="Cambria Math" w:hAnsi="Cambria Math"/>
                        <w:i/>
                        <w:szCs w:val="24"/>
                      </w:rPr>
                    </m:ctrlPr>
                  </m:sub>
                  <m:sup>
                    <m:r>
                      <w:rPr>
                        <w:rFonts w:ascii="Cambria Math" w:hAnsi="Cambria Math"/>
                        <w:szCs w:val="24"/>
                      </w:rPr>
                      <m:t>''</m:t>
                    </m:r>
                  </m:sup>
                </m:sSubSup>
              </m:oMath>
            </m:oMathPara>
          </w:p>
        </w:tc>
        <w:tc>
          <w:tcPr>
            <w:tcW w:w="399" w:type="pct"/>
            <w:tcBorders>
              <w:top w:val="single" w:sz="4" w:space="0" w:color="auto"/>
              <w:bottom w:val="single" w:sz="4" w:space="0" w:color="auto"/>
            </w:tcBorders>
          </w:tcPr>
          <w:p w14:paraId="14CFDD37" w14:textId="77777777" w:rsidR="00603ADE" w:rsidRPr="006C520E" w:rsidRDefault="00000000" w:rsidP="009A58A3">
            <w:pPr>
              <w:rPr>
                <w:rFonts w:eastAsia="Calibri" w:cs="Times New Roman"/>
                <w:szCs w:val="24"/>
                <w:vertAlign w:val="subscript"/>
              </w:rPr>
            </w:pPr>
            <m:oMathPara>
              <m:oMath>
                <m:sSup>
                  <m:sSupPr>
                    <m:ctrlPr>
                      <w:rPr>
                        <w:rFonts w:ascii="Cambria Math" w:hAnsi="Cambria Math"/>
                        <w:i/>
                        <w:szCs w:val="24"/>
                        <w:vertAlign w:val="subscript"/>
                      </w:rPr>
                    </m:ctrlPr>
                  </m:sSupPr>
                  <m:e>
                    <m:r>
                      <w:rPr>
                        <w:rFonts w:ascii="Cambria Math" w:hAnsi="Cambria Math"/>
                        <w:szCs w:val="24"/>
                        <w:vertAlign w:val="subscript"/>
                      </w:rPr>
                      <m:t>t</m:t>
                    </m:r>
                  </m:e>
                  <m:sup>
                    <m:r>
                      <w:rPr>
                        <w:rFonts w:ascii="Cambria Math" w:hAnsi="Cambria Math"/>
                        <w:szCs w:val="24"/>
                        <w:vertAlign w:val="subscript"/>
                      </w:rPr>
                      <m:t>'</m:t>
                    </m:r>
                  </m:sup>
                </m:sSup>
              </m:oMath>
            </m:oMathPara>
          </w:p>
        </w:tc>
        <w:tc>
          <w:tcPr>
            <w:tcW w:w="416" w:type="pct"/>
            <w:tcBorders>
              <w:top w:val="single" w:sz="4" w:space="0" w:color="auto"/>
              <w:bottom w:val="single" w:sz="4" w:space="0" w:color="auto"/>
            </w:tcBorders>
          </w:tcPr>
          <w:p w14:paraId="05663E22" w14:textId="77777777" w:rsidR="00603ADE" w:rsidRPr="006C520E" w:rsidRDefault="00000000" w:rsidP="009A58A3">
            <w:pPr>
              <w:rPr>
                <w:rFonts w:eastAsia="Calibri" w:cs="Times New Roman"/>
                <w:szCs w:val="24"/>
                <w:vertAlign w:val="subscript"/>
              </w:rPr>
            </w:pPr>
            <m:oMathPara>
              <m:oMath>
                <m:sSup>
                  <m:sSupPr>
                    <m:ctrlPr>
                      <w:rPr>
                        <w:rFonts w:ascii="Cambria Math" w:hAnsi="Cambria Math"/>
                        <w:i/>
                        <w:szCs w:val="24"/>
                        <w:vertAlign w:val="subscript"/>
                      </w:rPr>
                    </m:ctrlPr>
                  </m:sSupPr>
                  <m:e>
                    <m:r>
                      <w:rPr>
                        <w:rFonts w:ascii="Cambria Math" w:hAnsi="Cambria Math"/>
                        <w:szCs w:val="24"/>
                        <w:vertAlign w:val="subscript"/>
                      </w:rPr>
                      <m:t>t</m:t>
                    </m:r>
                  </m:e>
                  <m:sup>
                    <m:r>
                      <w:rPr>
                        <w:rFonts w:ascii="Cambria Math" w:hAnsi="Cambria Math"/>
                        <w:szCs w:val="24"/>
                        <w:vertAlign w:val="subscript"/>
                      </w:rPr>
                      <m:t>''</m:t>
                    </m:r>
                  </m:sup>
                </m:sSup>
              </m:oMath>
            </m:oMathPara>
          </w:p>
        </w:tc>
        <w:tc>
          <w:tcPr>
            <w:tcW w:w="440" w:type="pct"/>
            <w:tcBorders>
              <w:top w:val="single" w:sz="4" w:space="0" w:color="auto"/>
              <w:bottom w:val="single" w:sz="4" w:space="0" w:color="auto"/>
            </w:tcBorders>
          </w:tcPr>
          <w:p w14:paraId="3E6A45D7" w14:textId="77777777" w:rsidR="00603ADE" w:rsidRPr="006C520E" w:rsidRDefault="00000000" w:rsidP="009A58A3">
            <w:pPr>
              <w:rPr>
                <w:rFonts w:eastAsia="Calibri" w:cs="Times New Roman"/>
                <w:szCs w:val="24"/>
                <w:vertAlign w:val="subscript"/>
              </w:rPr>
            </w:pPr>
            <m:oMathPara>
              <m:oMath>
                <m:sSubSup>
                  <m:sSubSupPr>
                    <m:ctrlPr>
                      <w:rPr>
                        <w:rFonts w:ascii="Cambria Math" w:hAnsi="Cambria Math"/>
                        <w:i/>
                        <w:szCs w:val="24"/>
                        <w:vertAlign w:val="subscript"/>
                      </w:rPr>
                    </m:ctrlPr>
                  </m:sSubSupPr>
                  <m:e>
                    <m:r>
                      <w:rPr>
                        <w:rFonts w:ascii="Cambria Math" w:hAnsi="Cambria Math"/>
                        <w:szCs w:val="24"/>
                      </w:rPr>
                      <m:t>F</m:t>
                    </m:r>
                    <m:ctrlPr>
                      <w:rPr>
                        <w:rFonts w:ascii="Cambria Math" w:hAnsi="Cambria Math"/>
                        <w:i/>
                        <w:szCs w:val="24"/>
                      </w:rPr>
                    </m:ctrlPr>
                  </m:e>
                  <m:sub>
                    <m:r>
                      <w:rPr>
                        <w:rFonts w:ascii="Cambria Math" w:hAnsi="Cambria Math"/>
                        <w:szCs w:val="24"/>
                      </w:rPr>
                      <m:t>2</m:t>
                    </m:r>
                    <m:ctrlPr>
                      <w:rPr>
                        <w:rFonts w:ascii="Cambria Math" w:hAnsi="Cambria Math"/>
                        <w:i/>
                        <w:szCs w:val="24"/>
                      </w:rPr>
                    </m:ctrlPr>
                  </m:sub>
                  <m:sup>
                    <m:r>
                      <w:rPr>
                        <w:rFonts w:ascii="Cambria Math" w:hAnsi="Cambria Math"/>
                        <w:szCs w:val="24"/>
                      </w:rPr>
                      <m:t>'</m:t>
                    </m:r>
                  </m:sup>
                </m:sSubSup>
              </m:oMath>
            </m:oMathPara>
          </w:p>
        </w:tc>
        <w:tc>
          <w:tcPr>
            <w:tcW w:w="367" w:type="pct"/>
            <w:tcBorders>
              <w:top w:val="single" w:sz="4" w:space="0" w:color="auto"/>
              <w:bottom w:val="single" w:sz="4" w:space="0" w:color="auto"/>
            </w:tcBorders>
          </w:tcPr>
          <w:p w14:paraId="0E061862" w14:textId="77777777" w:rsidR="00603ADE" w:rsidRPr="006C520E" w:rsidRDefault="00000000" w:rsidP="009A58A3">
            <w:pPr>
              <w:rPr>
                <w:rFonts w:eastAsia="Calibri" w:cs="Times New Roman"/>
                <w:szCs w:val="24"/>
                <w:vertAlign w:val="subscript"/>
              </w:rPr>
            </w:pPr>
            <m:oMathPara>
              <m:oMath>
                <m:sSubSup>
                  <m:sSubSupPr>
                    <m:ctrlPr>
                      <w:rPr>
                        <w:rFonts w:ascii="Cambria Math" w:hAnsi="Cambria Math"/>
                        <w:i/>
                        <w:szCs w:val="24"/>
                        <w:vertAlign w:val="subscript"/>
                      </w:rPr>
                    </m:ctrlPr>
                  </m:sSubSupPr>
                  <m:e>
                    <m:r>
                      <w:rPr>
                        <w:rFonts w:ascii="Cambria Math" w:hAnsi="Cambria Math"/>
                        <w:szCs w:val="24"/>
                      </w:rPr>
                      <m:t>F</m:t>
                    </m:r>
                    <m:ctrlPr>
                      <w:rPr>
                        <w:rFonts w:ascii="Cambria Math" w:hAnsi="Cambria Math"/>
                        <w:i/>
                        <w:szCs w:val="24"/>
                      </w:rPr>
                    </m:ctrlPr>
                  </m:e>
                  <m:sub>
                    <m:r>
                      <w:rPr>
                        <w:rFonts w:ascii="Cambria Math" w:hAnsi="Cambria Math"/>
                        <w:szCs w:val="24"/>
                      </w:rPr>
                      <m:t>2</m:t>
                    </m:r>
                    <m:ctrlPr>
                      <w:rPr>
                        <w:rFonts w:ascii="Cambria Math" w:hAnsi="Cambria Math"/>
                        <w:i/>
                        <w:szCs w:val="24"/>
                      </w:rPr>
                    </m:ctrlPr>
                  </m:sub>
                  <m:sup>
                    <m:r>
                      <w:rPr>
                        <w:rFonts w:ascii="Cambria Math" w:hAnsi="Cambria Math"/>
                        <w:szCs w:val="24"/>
                      </w:rPr>
                      <m:t>''</m:t>
                    </m:r>
                  </m:sup>
                </m:sSubSup>
              </m:oMath>
            </m:oMathPara>
          </w:p>
        </w:tc>
      </w:tr>
      <w:tr w:rsidR="00603ADE" w:rsidRPr="006C520E" w14:paraId="08CD75E8" w14:textId="77777777" w:rsidTr="009A58A3">
        <w:tc>
          <w:tcPr>
            <w:tcW w:w="987" w:type="pct"/>
            <w:tcBorders>
              <w:top w:val="single" w:sz="4" w:space="0" w:color="auto"/>
            </w:tcBorders>
          </w:tcPr>
          <w:p w14:paraId="7038544C" w14:textId="77777777" w:rsidR="00603ADE" w:rsidRPr="006C520E" w:rsidRDefault="00603ADE" w:rsidP="009A58A3">
            <w:pPr>
              <w:rPr>
                <w:szCs w:val="24"/>
              </w:rPr>
            </w:pPr>
            <w:r w:rsidRPr="006C520E">
              <w:rPr>
                <w:szCs w:val="24"/>
              </w:rPr>
              <w:t>Model I</w:t>
            </w:r>
          </w:p>
        </w:tc>
        <w:tc>
          <w:tcPr>
            <w:tcW w:w="540" w:type="pct"/>
            <w:tcBorders>
              <w:top w:val="single" w:sz="4" w:space="0" w:color="auto"/>
            </w:tcBorders>
          </w:tcPr>
          <w:p w14:paraId="3C06CDBD" w14:textId="77777777" w:rsidR="00603ADE" w:rsidRPr="006C520E" w:rsidRDefault="00603ADE" w:rsidP="009A58A3">
            <w:pPr>
              <w:rPr>
                <w:szCs w:val="24"/>
                <w:vertAlign w:val="superscript"/>
              </w:rPr>
            </w:pPr>
            <w:r w:rsidRPr="006C520E">
              <w:rPr>
                <w:szCs w:val="24"/>
              </w:rPr>
              <w:t>7.375</w:t>
            </w:r>
            <w:r w:rsidRPr="006C520E">
              <w:rPr>
                <w:szCs w:val="24"/>
                <w:vertAlign w:val="superscript"/>
              </w:rPr>
              <w:t>**</w:t>
            </w:r>
          </w:p>
        </w:tc>
        <w:tc>
          <w:tcPr>
            <w:tcW w:w="489" w:type="pct"/>
            <w:tcBorders>
              <w:top w:val="single" w:sz="4" w:space="0" w:color="auto"/>
            </w:tcBorders>
          </w:tcPr>
          <w:p w14:paraId="6C0F9550" w14:textId="77777777" w:rsidR="00603ADE" w:rsidRPr="006C520E" w:rsidRDefault="00603ADE" w:rsidP="009A58A3">
            <w:pPr>
              <w:rPr>
                <w:szCs w:val="24"/>
                <w:vertAlign w:val="superscript"/>
              </w:rPr>
            </w:pPr>
            <w:r w:rsidRPr="006C520E">
              <w:rPr>
                <w:szCs w:val="24"/>
              </w:rPr>
              <w:t>-4.777</w:t>
            </w:r>
            <w:r w:rsidRPr="006C520E">
              <w:rPr>
                <w:szCs w:val="24"/>
                <w:vertAlign w:val="superscript"/>
              </w:rPr>
              <w:t>**</w:t>
            </w:r>
          </w:p>
        </w:tc>
        <w:tc>
          <w:tcPr>
            <w:tcW w:w="540" w:type="pct"/>
            <w:tcBorders>
              <w:top w:val="single" w:sz="4" w:space="0" w:color="auto"/>
            </w:tcBorders>
          </w:tcPr>
          <w:p w14:paraId="2CE00D1C" w14:textId="77777777" w:rsidR="00603ADE" w:rsidRPr="006C520E" w:rsidRDefault="00603ADE" w:rsidP="009A58A3">
            <w:pPr>
              <w:rPr>
                <w:szCs w:val="24"/>
                <w:vertAlign w:val="superscript"/>
              </w:rPr>
            </w:pPr>
            <w:r w:rsidRPr="006C520E">
              <w:rPr>
                <w:szCs w:val="24"/>
              </w:rPr>
              <w:t>8.132</w:t>
            </w:r>
            <w:r w:rsidRPr="006C520E">
              <w:rPr>
                <w:szCs w:val="24"/>
                <w:vertAlign w:val="superscript"/>
              </w:rPr>
              <w:t>**</w:t>
            </w:r>
          </w:p>
        </w:tc>
        <w:tc>
          <w:tcPr>
            <w:tcW w:w="440" w:type="pct"/>
            <w:tcBorders>
              <w:top w:val="single" w:sz="4" w:space="0" w:color="auto"/>
            </w:tcBorders>
          </w:tcPr>
          <w:p w14:paraId="2A63A624" w14:textId="77777777" w:rsidR="00603ADE" w:rsidRPr="006C520E" w:rsidRDefault="00603ADE" w:rsidP="009A58A3">
            <w:pPr>
              <w:rPr>
                <w:szCs w:val="24"/>
              </w:rPr>
            </w:pPr>
            <w:r w:rsidRPr="006C520E">
              <w:rPr>
                <w:szCs w:val="24"/>
              </w:rPr>
              <w:t>8.65</w:t>
            </w:r>
          </w:p>
        </w:tc>
        <w:tc>
          <w:tcPr>
            <w:tcW w:w="384" w:type="pct"/>
            <w:tcBorders>
              <w:top w:val="single" w:sz="4" w:space="0" w:color="auto"/>
            </w:tcBorders>
          </w:tcPr>
          <w:p w14:paraId="4BE98B0B" w14:textId="77777777" w:rsidR="00603ADE" w:rsidRPr="006C520E" w:rsidRDefault="00603ADE" w:rsidP="009A58A3">
            <w:pPr>
              <w:rPr>
                <w:szCs w:val="24"/>
              </w:rPr>
            </w:pPr>
            <w:r w:rsidRPr="006C520E">
              <w:rPr>
                <w:szCs w:val="24"/>
              </w:rPr>
              <w:t>7.12</w:t>
            </w:r>
          </w:p>
        </w:tc>
        <w:tc>
          <w:tcPr>
            <w:tcW w:w="399" w:type="pct"/>
            <w:tcBorders>
              <w:top w:val="single" w:sz="4" w:space="0" w:color="auto"/>
            </w:tcBorders>
          </w:tcPr>
          <w:p w14:paraId="59880846" w14:textId="77777777" w:rsidR="00603ADE" w:rsidRPr="006C520E" w:rsidRDefault="00603ADE" w:rsidP="009A58A3">
            <w:pPr>
              <w:rPr>
                <w:szCs w:val="24"/>
              </w:rPr>
            </w:pPr>
            <w:r w:rsidRPr="006C520E">
              <w:rPr>
                <w:szCs w:val="24"/>
              </w:rPr>
              <w:t>-5.39</w:t>
            </w:r>
          </w:p>
        </w:tc>
        <w:tc>
          <w:tcPr>
            <w:tcW w:w="416" w:type="pct"/>
            <w:tcBorders>
              <w:top w:val="single" w:sz="4" w:space="0" w:color="auto"/>
            </w:tcBorders>
          </w:tcPr>
          <w:p w14:paraId="52B2591E" w14:textId="77777777" w:rsidR="00603ADE" w:rsidRPr="006C520E" w:rsidRDefault="00603ADE" w:rsidP="009A58A3">
            <w:pPr>
              <w:rPr>
                <w:szCs w:val="24"/>
              </w:rPr>
            </w:pPr>
            <w:r w:rsidRPr="006C520E">
              <w:rPr>
                <w:szCs w:val="24"/>
              </w:rPr>
              <w:t>-4.55</w:t>
            </w:r>
          </w:p>
        </w:tc>
        <w:tc>
          <w:tcPr>
            <w:tcW w:w="440" w:type="pct"/>
            <w:tcBorders>
              <w:top w:val="single" w:sz="4" w:space="0" w:color="auto"/>
            </w:tcBorders>
          </w:tcPr>
          <w:p w14:paraId="1F11BF20" w14:textId="77777777" w:rsidR="00603ADE" w:rsidRPr="006C520E" w:rsidRDefault="00603ADE" w:rsidP="009A58A3">
            <w:pPr>
              <w:rPr>
                <w:szCs w:val="24"/>
              </w:rPr>
            </w:pPr>
            <w:r w:rsidRPr="006C520E">
              <w:rPr>
                <w:szCs w:val="24"/>
              </w:rPr>
              <w:t>9.59</w:t>
            </w:r>
          </w:p>
        </w:tc>
        <w:tc>
          <w:tcPr>
            <w:tcW w:w="367" w:type="pct"/>
            <w:tcBorders>
              <w:top w:val="single" w:sz="4" w:space="0" w:color="auto"/>
            </w:tcBorders>
          </w:tcPr>
          <w:p w14:paraId="06DDDF55" w14:textId="77777777" w:rsidR="00603ADE" w:rsidRPr="006C520E" w:rsidRDefault="00603ADE" w:rsidP="009A58A3">
            <w:pPr>
              <w:rPr>
                <w:szCs w:val="24"/>
              </w:rPr>
            </w:pPr>
            <w:r w:rsidRPr="006C520E">
              <w:rPr>
                <w:szCs w:val="24"/>
              </w:rPr>
              <w:t>7.61</w:t>
            </w:r>
          </w:p>
        </w:tc>
      </w:tr>
      <w:tr w:rsidR="00603ADE" w:rsidRPr="006C520E" w14:paraId="7A39DD5D" w14:textId="77777777" w:rsidTr="009A58A3">
        <w:trPr>
          <w:trHeight w:val="234"/>
        </w:trPr>
        <w:tc>
          <w:tcPr>
            <w:tcW w:w="987" w:type="pct"/>
          </w:tcPr>
          <w:p w14:paraId="4D30F755" w14:textId="77777777" w:rsidR="00603ADE" w:rsidRPr="006C520E" w:rsidRDefault="00603ADE" w:rsidP="009A58A3">
            <w:pPr>
              <w:rPr>
                <w:szCs w:val="24"/>
              </w:rPr>
            </w:pPr>
            <w:r w:rsidRPr="006C520E">
              <w:rPr>
                <w:szCs w:val="24"/>
              </w:rPr>
              <w:t>Model II</w:t>
            </w:r>
          </w:p>
        </w:tc>
        <w:tc>
          <w:tcPr>
            <w:tcW w:w="540" w:type="pct"/>
          </w:tcPr>
          <w:p w14:paraId="6A8D5E9A" w14:textId="77777777" w:rsidR="00603ADE" w:rsidRPr="006C520E" w:rsidRDefault="00603ADE" w:rsidP="009A58A3">
            <w:pPr>
              <w:rPr>
                <w:szCs w:val="24"/>
                <w:vertAlign w:val="superscript"/>
              </w:rPr>
            </w:pPr>
            <w:r w:rsidRPr="006C520E">
              <w:rPr>
                <w:szCs w:val="24"/>
              </w:rPr>
              <w:t>6.416</w:t>
            </w:r>
            <w:r w:rsidRPr="006C520E">
              <w:rPr>
                <w:szCs w:val="24"/>
                <w:vertAlign w:val="superscript"/>
              </w:rPr>
              <w:t>***</w:t>
            </w:r>
          </w:p>
        </w:tc>
        <w:tc>
          <w:tcPr>
            <w:tcW w:w="489" w:type="pct"/>
          </w:tcPr>
          <w:p w14:paraId="4C733B45" w14:textId="77777777" w:rsidR="00603ADE" w:rsidRPr="006C520E" w:rsidRDefault="00603ADE" w:rsidP="009A58A3">
            <w:pPr>
              <w:rPr>
                <w:szCs w:val="24"/>
                <w:vertAlign w:val="superscript"/>
              </w:rPr>
            </w:pPr>
            <w:r w:rsidRPr="006C520E">
              <w:rPr>
                <w:szCs w:val="24"/>
              </w:rPr>
              <w:t>-4.839</w:t>
            </w:r>
            <w:r w:rsidRPr="006C520E">
              <w:rPr>
                <w:szCs w:val="24"/>
                <w:vertAlign w:val="superscript"/>
              </w:rPr>
              <w:t>**</w:t>
            </w:r>
          </w:p>
        </w:tc>
        <w:tc>
          <w:tcPr>
            <w:tcW w:w="540" w:type="pct"/>
          </w:tcPr>
          <w:p w14:paraId="7BB5B389" w14:textId="77777777" w:rsidR="00603ADE" w:rsidRPr="006C520E" w:rsidRDefault="00603ADE" w:rsidP="009A58A3">
            <w:pPr>
              <w:rPr>
                <w:szCs w:val="24"/>
                <w:vertAlign w:val="superscript"/>
              </w:rPr>
            </w:pPr>
            <w:r w:rsidRPr="006C520E">
              <w:rPr>
                <w:szCs w:val="24"/>
              </w:rPr>
              <w:t>6.966</w:t>
            </w:r>
            <w:r w:rsidRPr="006C520E">
              <w:rPr>
                <w:szCs w:val="24"/>
                <w:vertAlign w:val="superscript"/>
              </w:rPr>
              <w:t>***</w:t>
            </w:r>
          </w:p>
        </w:tc>
        <w:tc>
          <w:tcPr>
            <w:tcW w:w="440" w:type="pct"/>
          </w:tcPr>
          <w:p w14:paraId="04B57713" w14:textId="77777777" w:rsidR="00603ADE" w:rsidRPr="006C520E" w:rsidRDefault="00603ADE" w:rsidP="009A58A3">
            <w:pPr>
              <w:rPr>
                <w:szCs w:val="24"/>
              </w:rPr>
            </w:pPr>
            <w:r w:rsidRPr="006C520E">
              <w:rPr>
                <w:szCs w:val="24"/>
              </w:rPr>
              <w:t>5.91</w:t>
            </w:r>
          </w:p>
        </w:tc>
        <w:tc>
          <w:tcPr>
            <w:tcW w:w="384" w:type="pct"/>
          </w:tcPr>
          <w:p w14:paraId="40A5C162" w14:textId="77777777" w:rsidR="00603ADE" w:rsidRPr="006C520E" w:rsidRDefault="00603ADE" w:rsidP="009A58A3">
            <w:pPr>
              <w:rPr>
                <w:szCs w:val="24"/>
              </w:rPr>
            </w:pPr>
            <w:r w:rsidRPr="006C520E">
              <w:rPr>
                <w:szCs w:val="24"/>
              </w:rPr>
              <w:t>4.80</w:t>
            </w:r>
          </w:p>
        </w:tc>
        <w:tc>
          <w:tcPr>
            <w:tcW w:w="399" w:type="pct"/>
          </w:tcPr>
          <w:p w14:paraId="31F8B042" w14:textId="77777777" w:rsidR="00603ADE" w:rsidRPr="006C520E" w:rsidRDefault="00603ADE" w:rsidP="009A58A3">
            <w:pPr>
              <w:rPr>
                <w:szCs w:val="24"/>
              </w:rPr>
            </w:pPr>
            <w:r w:rsidRPr="006C520E">
              <w:rPr>
                <w:szCs w:val="24"/>
              </w:rPr>
              <w:t>-4.88</w:t>
            </w:r>
          </w:p>
        </w:tc>
        <w:tc>
          <w:tcPr>
            <w:tcW w:w="416" w:type="pct"/>
          </w:tcPr>
          <w:p w14:paraId="2C8E9DC8" w14:textId="77777777" w:rsidR="00603ADE" w:rsidRPr="006C520E" w:rsidRDefault="00603ADE" w:rsidP="009A58A3">
            <w:pPr>
              <w:rPr>
                <w:szCs w:val="24"/>
              </w:rPr>
            </w:pPr>
            <w:r w:rsidRPr="006C520E">
              <w:rPr>
                <w:szCs w:val="24"/>
              </w:rPr>
              <w:t>-3.94</w:t>
            </w:r>
          </w:p>
        </w:tc>
        <w:tc>
          <w:tcPr>
            <w:tcW w:w="440" w:type="pct"/>
          </w:tcPr>
          <w:p w14:paraId="7647D845" w14:textId="77777777" w:rsidR="00603ADE" w:rsidRPr="006C520E" w:rsidRDefault="00603ADE" w:rsidP="009A58A3">
            <w:pPr>
              <w:rPr>
                <w:szCs w:val="24"/>
              </w:rPr>
            </w:pPr>
            <w:r w:rsidRPr="006C520E">
              <w:rPr>
                <w:szCs w:val="24"/>
              </w:rPr>
              <w:t>6.07</w:t>
            </w:r>
          </w:p>
        </w:tc>
        <w:tc>
          <w:tcPr>
            <w:tcW w:w="367" w:type="pct"/>
          </w:tcPr>
          <w:p w14:paraId="3D40CE5F" w14:textId="77777777" w:rsidR="00603ADE" w:rsidRPr="006C520E" w:rsidRDefault="00603ADE" w:rsidP="009A58A3">
            <w:pPr>
              <w:rPr>
                <w:szCs w:val="24"/>
              </w:rPr>
            </w:pPr>
            <w:r w:rsidRPr="006C520E">
              <w:rPr>
                <w:szCs w:val="24"/>
              </w:rPr>
              <w:t>4.95</w:t>
            </w:r>
          </w:p>
        </w:tc>
      </w:tr>
      <w:tr w:rsidR="00603ADE" w:rsidRPr="006C520E" w14:paraId="62260392" w14:textId="77777777" w:rsidTr="009A58A3">
        <w:tc>
          <w:tcPr>
            <w:tcW w:w="987" w:type="pct"/>
          </w:tcPr>
          <w:p w14:paraId="18EE243C" w14:textId="77777777" w:rsidR="00603ADE" w:rsidRPr="006C520E" w:rsidRDefault="00603ADE" w:rsidP="009A58A3">
            <w:pPr>
              <w:rPr>
                <w:szCs w:val="24"/>
              </w:rPr>
            </w:pPr>
            <w:r w:rsidRPr="006C520E">
              <w:rPr>
                <w:szCs w:val="24"/>
              </w:rPr>
              <w:t>Model III</w:t>
            </w:r>
          </w:p>
        </w:tc>
        <w:tc>
          <w:tcPr>
            <w:tcW w:w="540" w:type="pct"/>
          </w:tcPr>
          <w:p w14:paraId="02F0D78F" w14:textId="77777777" w:rsidR="00603ADE" w:rsidRPr="006C520E" w:rsidRDefault="00603ADE" w:rsidP="009A58A3">
            <w:pPr>
              <w:rPr>
                <w:szCs w:val="24"/>
                <w:vertAlign w:val="superscript"/>
              </w:rPr>
            </w:pPr>
            <w:r w:rsidRPr="006C520E">
              <w:rPr>
                <w:szCs w:val="24"/>
              </w:rPr>
              <w:t>26.745</w:t>
            </w:r>
            <w:r w:rsidRPr="006C520E">
              <w:rPr>
                <w:szCs w:val="24"/>
                <w:vertAlign w:val="superscript"/>
              </w:rPr>
              <w:t>***</w:t>
            </w:r>
          </w:p>
        </w:tc>
        <w:tc>
          <w:tcPr>
            <w:tcW w:w="489" w:type="pct"/>
          </w:tcPr>
          <w:p w14:paraId="6C8A408B" w14:textId="77777777" w:rsidR="00603ADE" w:rsidRPr="006C520E" w:rsidRDefault="00603ADE" w:rsidP="009A58A3">
            <w:pPr>
              <w:rPr>
                <w:szCs w:val="24"/>
                <w:vertAlign w:val="superscript"/>
              </w:rPr>
            </w:pPr>
            <w:r w:rsidRPr="006C520E">
              <w:rPr>
                <w:szCs w:val="24"/>
              </w:rPr>
              <w:t>-3.887</w:t>
            </w:r>
            <w:r w:rsidRPr="006C520E">
              <w:rPr>
                <w:szCs w:val="24"/>
                <w:vertAlign w:val="superscript"/>
              </w:rPr>
              <w:t>**</w:t>
            </w:r>
          </w:p>
        </w:tc>
        <w:tc>
          <w:tcPr>
            <w:tcW w:w="540" w:type="pct"/>
          </w:tcPr>
          <w:p w14:paraId="0EDB0C2A" w14:textId="77777777" w:rsidR="00603ADE" w:rsidRPr="006C520E" w:rsidRDefault="00603ADE" w:rsidP="009A58A3">
            <w:pPr>
              <w:rPr>
                <w:szCs w:val="24"/>
                <w:vertAlign w:val="superscript"/>
              </w:rPr>
            </w:pPr>
            <w:r w:rsidRPr="006C520E">
              <w:rPr>
                <w:szCs w:val="24"/>
              </w:rPr>
              <w:t>11.242</w:t>
            </w:r>
            <w:r w:rsidRPr="006C520E">
              <w:rPr>
                <w:szCs w:val="24"/>
                <w:vertAlign w:val="superscript"/>
              </w:rPr>
              <w:t>***</w:t>
            </w:r>
          </w:p>
        </w:tc>
        <w:tc>
          <w:tcPr>
            <w:tcW w:w="440" w:type="pct"/>
          </w:tcPr>
          <w:p w14:paraId="046E4E73" w14:textId="77777777" w:rsidR="00603ADE" w:rsidRPr="006C520E" w:rsidRDefault="00603ADE" w:rsidP="009A58A3">
            <w:pPr>
              <w:rPr>
                <w:szCs w:val="24"/>
              </w:rPr>
            </w:pPr>
            <w:r w:rsidRPr="006C520E">
              <w:rPr>
                <w:szCs w:val="24"/>
              </w:rPr>
              <w:t>25.70</w:t>
            </w:r>
          </w:p>
        </w:tc>
        <w:tc>
          <w:tcPr>
            <w:tcW w:w="384" w:type="pct"/>
          </w:tcPr>
          <w:p w14:paraId="16C4452E" w14:textId="77777777" w:rsidR="00603ADE" w:rsidRPr="006C520E" w:rsidRDefault="00603ADE" w:rsidP="009A58A3">
            <w:pPr>
              <w:rPr>
                <w:szCs w:val="24"/>
              </w:rPr>
            </w:pPr>
            <w:r w:rsidRPr="006C520E">
              <w:rPr>
                <w:szCs w:val="24"/>
              </w:rPr>
              <w:t>21.83</w:t>
            </w:r>
          </w:p>
        </w:tc>
        <w:tc>
          <w:tcPr>
            <w:tcW w:w="399" w:type="pct"/>
          </w:tcPr>
          <w:p w14:paraId="029EC06B" w14:textId="77777777" w:rsidR="00603ADE" w:rsidRPr="006C520E" w:rsidRDefault="00603ADE" w:rsidP="009A58A3">
            <w:pPr>
              <w:rPr>
                <w:szCs w:val="24"/>
              </w:rPr>
            </w:pPr>
            <w:r w:rsidRPr="006C520E">
              <w:rPr>
                <w:szCs w:val="24"/>
              </w:rPr>
              <w:t>-3.57</w:t>
            </w:r>
          </w:p>
        </w:tc>
        <w:tc>
          <w:tcPr>
            <w:tcW w:w="416" w:type="pct"/>
          </w:tcPr>
          <w:p w14:paraId="1F488005" w14:textId="77777777" w:rsidR="00603ADE" w:rsidRPr="006C520E" w:rsidRDefault="00603ADE" w:rsidP="009A58A3">
            <w:pPr>
              <w:rPr>
                <w:szCs w:val="24"/>
              </w:rPr>
            </w:pPr>
            <w:r w:rsidRPr="006C520E">
              <w:rPr>
                <w:szCs w:val="24"/>
              </w:rPr>
              <w:t>-2.95</w:t>
            </w:r>
          </w:p>
        </w:tc>
        <w:tc>
          <w:tcPr>
            <w:tcW w:w="440" w:type="pct"/>
          </w:tcPr>
          <w:p w14:paraId="3B640DAB" w14:textId="77777777" w:rsidR="00603ADE" w:rsidRPr="006C520E" w:rsidRDefault="00603ADE" w:rsidP="009A58A3">
            <w:pPr>
              <w:rPr>
                <w:szCs w:val="24"/>
              </w:rPr>
            </w:pPr>
            <w:r w:rsidRPr="006C520E">
              <w:rPr>
                <w:szCs w:val="24"/>
              </w:rPr>
              <w:t>6.16</w:t>
            </w:r>
          </w:p>
        </w:tc>
        <w:tc>
          <w:tcPr>
            <w:tcW w:w="367" w:type="pct"/>
          </w:tcPr>
          <w:p w14:paraId="086D3F67" w14:textId="77777777" w:rsidR="00603ADE" w:rsidRPr="006C520E" w:rsidRDefault="00603ADE" w:rsidP="009A58A3">
            <w:pPr>
              <w:rPr>
                <w:szCs w:val="24"/>
              </w:rPr>
            </w:pPr>
            <w:r w:rsidRPr="006C520E">
              <w:rPr>
                <w:szCs w:val="24"/>
              </w:rPr>
              <w:t>4.88</w:t>
            </w:r>
          </w:p>
        </w:tc>
      </w:tr>
    </w:tbl>
    <w:p w14:paraId="6763D7DF" w14:textId="77777777" w:rsidR="00603ADE" w:rsidRPr="006C520E" w:rsidRDefault="00603ADE" w:rsidP="00603ADE">
      <w:pPr>
        <w:spacing w:after="0"/>
        <w:rPr>
          <w:sz w:val="20"/>
          <w:szCs w:val="18"/>
        </w:rPr>
      </w:pPr>
      <w:r w:rsidRPr="006C520E">
        <w:rPr>
          <w:b/>
          <w:bCs/>
          <w:sz w:val="20"/>
          <w:szCs w:val="20"/>
        </w:rPr>
        <w:t xml:space="preserve">Notes: </w:t>
      </w:r>
      <w:r w:rsidRPr="006C520E">
        <w:rPr>
          <w:sz w:val="20"/>
          <w:szCs w:val="18"/>
        </w:rPr>
        <w:t>Asterisks (</w:t>
      </w:r>
      <w:r w:rsidRPr="006C520E">
        <w:rPr>
          <w:sz w:val="20"/>
          <w:szCs w:val="18"/>
          <w:vertAlign w:val="superscript"/>
        </w:rPr>
        <w:t>***</w:t>
      </w:r>
      <w:r w:rsidRPr="006C520E">
        <w:rPr>
          <w:sz w:val="20"/>
          <w:szCs w:val="18"/>
        </w:rPr>
        <w:t>) and (</w:t>
      </w:r>
      <w:r w:rsidRPr="006C520E">
        <w:rPr>
          <w:sz w:val="20"/>
          <w:szCs w:val="18"/>
          <w:vertAlign w:val="superscript"/>
        </w:rPr>
        <w:t>**</w:t>
      </w:r>
      <w:r w:rsidRPr="006C520E">
        <w:rPr>
          <w:sz w:val="20"/>
          <w:szCs w:val="18"/>
        </w:rPr>
        <w:t>) denotes significance at 1% and 5% levels, respectively</w:t>
      </w:r>
      <w:r w:rsidRPr="006C520E">
        <w:rPr>
          <w:sz w:val="20"/>
          <w:szCs w:val="20"/>
        </w:rPr>
        <w:t xml:space="preserve">. Model I is the baseline model of Equation (1) without </w:t>
      </w:r>
      <w:r w:rsidRPr="006C520E">
        <w:rPr>
          <w:rFonts w:eastAsiaTheme="minorEastAsia"/>
          <w:sz w:val="20"/>
          <w:szCs w:val="20"/>
          <w:lang w:bidi="en-US"/>
        </w:rPr>
        <w:t>the oil wealth-underground economy interaction term (</w:t>
      </w:r>
      <m:oMath>
        <m:sSubSup>
          <m:sSubSupPr>
            <m:ctrlPr>
              <w:rPr>
                <w:rFonts w:ascii="Cambria Math" w:hAnsi="Cambria Math"/>
                <w:i/>
                <w:sz w:val="20"/>
                <w:szCs w:val="20"/>
                <w:lang w:bidi="en-US"/>
              </w:rPr>
            </m:ctrlPr>
          </m:sSubSupPr>
          <m:e>
            <m:r>
              <w:rPr>
                <w:rFonts w:ascii="Cambria Math" w:hAnsi="Cambria Math"/>
                <w:sz w:val="20"/>
                <w:szCs w:val="20"/>
                <w:lang w:bidi="en-US"/>
              </w:rPr>
              <m:t>∅</m:t>
            </m:r>
          </m:e>
          <m:sub>
            <m:r>
              <w:rPr>
                <w:rFonts w:ascii="Cambria Math" w:hAnsi="Cambria Math"/>
                <w:sz w:val="20"/>
                <w:szCs w:val="20"/>
                <w:lang w:bidi="en-US"/>
              </w:rPr>
              <m:t>t</m:t>
            </m:r>
          </m:sub>
          <m:sup>
            <m:r>
              <w:rPr>
                <w:rFonts w:ascii="Cambria Math" w:hAnsi="Cambria Math"/>
                <w:sz w:val="20"/>
                <w:szCs w:val="20"/>
                <w:lang w:bidi="en-US"/>
              </w:rPr>
              <m:t>'</m:t>
            </m:r>
          </m:sup>
        </m:sSubSup>
      </m:oMath>
      <w:r w:rsidRPr="006C520E">
        <w:rPr>
          <w:rFonts w:eastAsiaTheme="minorEastAsia"/>
          <w:sz w:val="20"/>
          <w:szCs w:val="20"/>
          <w:lang w:bidi="en-US"/>
        </w:rPr>
        <w:t>). Model II is the equation with the interaction term (</w:t>
      </w:r>
      <m:oMath>
        <m:sSub>
          <m:sSubPr>
            <m:ctrlPr>
              <w:rPr>
                <w:rFonts w:ascii="Cambria Math" w:hAnsi="Cambria Math"/>
                <w:i/>
                <w:sz w:val="20"/>
                <w:szCs w:val="20"/>
                <w:lang w:bidi="en-US"/>
              </w:rPr>
            </m:ctrlPr>
          </m:sSubPr>
          <m:e>
            <m:r>
              <w:rPr>
                <w:rFonts w:ascii="Cambria Math" w:hAnsi="Cambria Math"/>
                <w:sz w:val="20"/>
                <w:szCs w:val="20"/>
                <w:lang w:bidi="en-US"/>
              </w:rPr>
              <m:t>ψ</m:t>
            </m:r>
          </m:e>
          <m:sub>
            <m:r>
              <w:rPr>
                <w:rFonts w:ascii="Cambria Math" w:hAnsi="Cambria Math"/>
                <w:sz w:val="20"/>
                <w:szCs w:val="20"/>
                <w:lang w:bidi="en-US"/>
              </w:rPr>
              <m:t>3</m:t>
            </m:r>
          </m:sub>
        </m:sSub>
        <m:sSubSup>
          <m:sSubSupPr>
            <m:ctrlPr>
              <w:rPr>
                <w:rFonts w:ascii="Cambria Math" w:hAnsi="Cambria Math"/>
                <w:i/>
                <w:sz w:val="20"/>
                <w:szCs w:val="20"/>
                <w:lang w:bidi="en-US"/>
              </w:rPr>
            </m:ctrlPr>
          </m:sSubSupPr>
          <m:e>
            <m:r>
              <w:rPr>
                <w:rFonts w:ascii="Cambria Math" w:hAnsi="Cambria Math"/>
                <w:sz w:val="20"/>
                <w:szCs w:val="20"/>
                <w:lang w:bidi="en-US"/>
              </w:rPr>
              <m:t>∅</m:t>
            </m:r>
          </m:e>
          <m:sub>
            <m:r>
              <w:rPr>
                <w:rFonts w:ascii="Cambria Math" w:hAnsi="Cambria Math"/>
                <w:sz w:val="20"/>
                <w:szCs w:val="20"/>
                <w:lang w:bidi="en-US"/>
              </w:rPr>
              <m:t>t</m:t>
            </m:r>
          </m:sub>
          <m:sup>
            <m:r>
              <w:rPr>
                <w:rFonts w:ascii="Cambria Math" w:hAnsi="Cambria Math"/>
                <w:sz w:val="20"/>
                <w:szCs w:val="20"/>
                <w:lang w:bidi="en-US"/>
              </w:rPr>
              <m:t>'</m:t>
            </m:r>
          </m:sup>
        </m:sSubSup>
      </m:oMath>
      <w:r w:rsidRPr="006C520E">
        <w:rPr>
          <w:rFonts w:eastAsiaTheme="minorEastAsia"/>
          <w:sz w:val="20"/>
          <w:szCs w:val="20"/>
          <w:lang w:bidi="en-US"/>
        </w:rPr>
        <w:t>), but excluding the underground economy (</w:t>
      </w:r>
      <m:oMath>
        <m:sSub>
          <m:sSubPr>
            <m:ctrlPr>
              <w:rPr>
                <w:rFonts w:ascii="Cambria Math" w:hAnsi="Cambria Math"/>
                <w:i/>
                <w:sz w:val="20"/>
                <w:szCs w:val="20"/>
                <w:lang w:bidi="en-US"/>
              </w:rPr>
            </m:ctrlPr>
          </m:sSubPr>
          <m:e>
            <m:r>
              <w:rPr>
                <w:rFonts w:ascii="Cambria Math" w:hAnsi="Cambria Math"/>
                <w:sz w:val="20"/>
                <w:szCs w:val="20"/>
                <w:lang w:bidi="en-US"/>
              </w:rPr>
              <m:t>ue</m:t>
            </m:r>
          </m:e>
          <m:sub>
            <m:r>
              <w:rPr>
                <w:rFonts w:ascii="Cambria Math" w:hAnsi="Cambria Math"/>
                <w:sz w:val="20"/>
                <w:szCs w:val="20"/>
                <w:lang w:bidi="en-US"/>
              </w:rPr>
              <m:t>t</m:t>
            </m:r>
          </m:sub>
        </m:sSub>
      </m:oMath>
      <w:r w:rsidRPr="006C520E">
        <w:rPr>
          <w:rFonts w:eastAsiaTheme="minorEastAsia"/>
          <w:sz w:val="20"/>
          <w:szCs w:val="20"/>
          <w:lang w:bidi="en-US"/>
        </w:rPr>
        <w:t xml:space="preserve">). Model III is Equation (1) – all interest variables and interaction term are included. </w:t>
      </w:r>
      <m:oMath>
        <m:sSub>
          <m:sSubPr>
            <m:ctrlPr>
              <w:rPr>
                <w:rFonts w:ascii="Cambria Math" w:hAnsi="Cambria Math"/>
                <w:i/>
                <w:sz w:val="20"/>
                <w:szCs w:val="20"/>
                <w:vertAlign w:val="subscript"/>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vertAlign w:val="subscript"/>
              </w:rPr>
              <m:t>1</m:t>
            </m:r>
          </m:sub>
        </m:sSub>
      </m:oMath>
      <w:r w:rsidRPr="006C520E">
        <w:rPr>
          <w:rFonts w:eastAsiaTheme="minorEastAsia"/>
          <w:sz w:val="20"/>
          <w:szCs w:val="20"/>
          <w:vertAlign w:val="subscript"/>
        </w:rPr>
        <w:t xml:space="preserve"> </w:t>
      </w:r>
      <w:r w:rsidRPr="006C520E">
        <w:rPr>
          <w:sz w:val="20"/>
          <w:szCs w:val="20"/>
        </w:rPr>
        <w:t xml:space="preserve">represents the overall F-statistic for the lagged level variables, </w:t>
      </w:r>
      <m:oMath>
        <m:sSub>
          <m:sSubPr>
            <m:ctrlPr>
              <w:rPr>
                <w:rFonts w:ascii="Cambria Math" w:hAnsi="Cambria Math"/>
                <w:i/>
                <w:sz w:val="20"/>
                <w:szCs w:val="20"/>
                <w:vertAlign w:val="subscript"/>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vertAlign w:val="subscript"/>
              </w:rPr>
              <m:t>2</m:t>
            </m:r>
          </m:sub>
        </m:sSub>
      </m:oMath>
      <w:r w:rsidRPr="006C520E">
        <w:rPr>
          <w:sz w:val="20"/>
          <w:szCs w:val="20"/>
        </w:rPr>
        <w:t xml:space="preserve"> denotes the exogenous F-statistic for the lagged level of the independent variables, and </w:t>
      </w:r>
      <m:oMath>
        <m:r>
          <w:rPr>
            <w:rFonts w:ascii="Cambria Math" w:hAnsi="Cambria Math"/>
            <w:sz w:val="20"/>
            <w:szCs w:val="20"/>
            <w:vertAlign w:val="subscript"/>
          </w:rPr>
          <m:t>t</m:t>
        </m:r>
      </m:oMath>
      <w:r w:rsidRPr="006C520E">
        <w:rPr>
          <w:sz w:val="20"/>
          <w:szCs w:val="20"/>
        </w:rPr>
        <w:t xml:space="preserve"> is the t-statistic for the lagged level of the </w:t>
      </w:r>
      <w:r w:rsidRPr="006C520E">
        <w:rPr>
          <w:sz w:val="20"/>
          <w:szCs w:val="20"/>
        </w:rPr>
        <w:lastRenderedPageBreak/>
        <w:t xml:space="preserve">dependent variable. </w:t>
      </w:r>
      <m:oMath>
        <m:sSubSup>
          <m:sSubSupPr>
            <m:ctrlPr>
              <w:rPr>
                <w:rFonts w:ascii="Cambria Math" w:hAnsi="Cambria Math"/>
                <w:i/>
                <w:sz w:val="20"/>
                <w:szCs w:val="20"/>
                <w:vertAlign w:val="subscript"/>
              </w:rPr>
            </m:ctrlPr>
          </m:sSubSup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1</m:t>
            </m:r>
            <m:ctrlPr>
              <w:rPr>
                <w:rFonts w:ascii="Cambria Math" w:hAnsi="Cambria Math"/>
                <w:i/>
                <w:sz w:val="20"/>
                <w:szCs w:val="20"/>
              </w:rPr>
            </m:ctrlPr>
          </m:sub>
          <m:sup>
            <m:r>
              <w:rPr>
                <w:rFonts w:ascii="Cambria Math" w:hAnsi="Cambria Math"/>
                <w:sz w:val="20"/>
                <w:szCs w:val="20"/>
              </w:rPr>
              <m:t>'</m:t>
            </m:r>
          </m:sup>
        </m:sSubSup>
      </m:oMath>
      <w:r w:rsidRPr="006C520E">
        <w:rPr>
          <w:rFonts w:ascii="Cambria Math" w:eastAsiaTheme="minorEastAsia" w:hAnsi="Cambria Math"/>
          <w:i/>
          <w:sz w:val="20"/>
          <w:szCs w:val="20"/>
          <w:vertAlign w:val="subscript"/>
        </w:rPr>
        <w:t xml:space="preserve">, </w:t>
      </w:r>
      <m:oMath>
        <m:sSup>
          <m:sSupPr>
            <m:ctrlPr>
              <w:rPr>
                <w:rFonts w:ascii="Cambria Math" w:hAnsi="Cambria Math"/>
                <w:i/>
                <w:sz w:val="20"/>
                <w:szCs w:val="20"/>
                <w:vertAlign w:val="subscript"/>
              </w:rPr>
            </m:ctrlPr>
          </m:sSupPr>
          <m:e>
            <m:r>
              <w:rPr>
                <w:rFonts w:ascii="Cambria Math" w:hAnsi="Cambria Math"/>
                <w:sz w:val="20"/>
                <w:szCs w:val="20"/>
                <w:vertAlign w:val="subscript"/>
              </w:rPr>
              <m:t>t</m:t>
            </m:r>
          </m:e>
          <m:sup>
            <m:r>
              <w:rPr>
                <w:rFonts w:ascii="Cambria Math" w:hAnsi="Cambria Math"/>
                <w:sz w:val="20"/>
                <w:szCs w:val="20"/>
                <w:vertAlign w:val="subscript"/>
              </w:rPr>
              <m:t>'</m:t>
            </m:r>
          </m:sup>
        </m:sSup>
      </m:oMath>
      <w:r w:rsidRPr="006C520E">
        <w:rPr>
          <w:sz w:val="20"/>
          <w:szCs w:val="18"/>
        </w:rPr>
        <w:t xml:space="preserve">, and </w:t>
      </w:r>
      <m:oMath>
        <m:sSubSup>
          <m:sSubSupPr>
            <m:ctrlPr>
              <w:rPr>
                <w:rFonts w:ascii="Cambria Math" w:hAnsi="Cambria Math"/>
                <w:i/>
                <w:sz w:val="20"/>
                <w:szCs w:val="20"/>
                <w:vertAlign w:val="subscript"/>
              </w:rPr>
            </m:ctrlPr>
          </m:sSubSup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2</m:t>
            </m:r>
            <m:ctrlPr>
              <w:rPr>
                <w:rFonts w:ascii="Cambria Math" w:hAnsi="Cambria Math"/>
                <w:i/>
                <w:sz w:val="20"/>
                <w:szCs w:val="20"/>
              </w:rPr>
            </m:ctrlPr>
          </m:sub>
          <m:sup>
            <m:r>
              <w:rPr>
                <w:rFonts w:ascii="Cambria Math" w:hAnsi="Cambria Math"/>
                <w:sz w:val="20"/>
                <w:szCs w:val="20"/>
              </w:rPr>
              <m:t>'</m:t>
            </m:r>
          </m:sup>
        </m:sSubSup>
      </m:oMath>
      <w:r w:rsidRPr="006C520E">
        <w:rPr>
          <w:rFonts w:eastAsiaTheme="minorEastAsia"/>
          <w:sz w:val="20"/>
          <w:szCs w:val="20"/>
        </w:rPr>
        <w:t>, and</w:t>
      </w:r>
      <w:r w:rsidRPr="006C520E">
        <w:rPr>
          <w:rFonts w:eastAsiaTheme="minorEastAsia"/>
          <w:sz w:val="20"/>
          <w:szCs w:val="20"/>
          <w:vertAlign w:val="subscript"/>
        </w:rPr>
        <w:t xml:space="preserve"> </w:t>
      </w:r>
      <m:oMath>
        <m:sSubSup>
          <m:sSubSupPr>
            <m:ctrlPr>
              <w:rPr>
                <w:rFonts w:ascii="Cambria Math" w:hAnsi="Cambria Math"/>
                <w:i/>
                <w:sz w:val="20"/>
                <w:szCs w:val="20"/>
                <w:vertAlign w:val="subscript"/>
              </w:rPr>
            </m:ctrlPr>
          </m:sSubSup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1</m:t>
            </m:r>
            <m:ctrlPr>
              <w:rPr>
                <w:rFonts w:ascii="Cambria Math" w:hAnsi="Cambria Math"/>
                <w:i/>
                <w:sz w:val="20"/>
                <w:szCs w:val="20"/>
              </w:rPr>
            </m:ctrlPr>
          </m:sub>
          <m:sup>
            <m:r>
              <w:rPr>
                <w:rFonts w:ascii="Cambria Math" w:hAnsi="Cambria Math"/>
                <w:sz w:val="20"/>
                <w:szCs w:val="20"/>
              </w:rPr>
              <m:t>''</m:t>
            </m:r>
          </m:sup>
        </m:sSubSup>
      </m:oMath>
      <w:r w:rsidRPr="006C520E">
        <w:rPr>
          <w:rFonts w:ascii="Cambria Math" w:eastAsiaTheme="minorEastAsia" w:hAnsi="Cambria Math"/>
          <w:i/>
          <w:sz w:val="20"/>
          <w:szCs w:val="20"/>
          <w:vertAlign w:val="subscript"/>
        </w:rPr>
        <w:t xml:space="preserve">, </w:t>
      </w:r>
      <m:oMath>
        <m:sSup>
          <m:sSupPr>
            <m:ctrlPr>
              <w:rPr>
                <w:rFonts w:ascii="Cambria Math" w:hAnsi="Cambria Math"/>
                <w:i/>
                <w:sz w:val="20"/>
                <w:szCs w:val="20"/>
                <w:vertAlign w:val="subscript"/>
              </w:rPr>
            </m:ctrlPr>
          </m:sSupPr>
          <m:e>
            <m:r>
              <w:rPr>
                <w:rFonts w:ascii="Cambria Math" w:hAnsi="Cambria Math"/>
                <w:sz w:val="20"/>
                <w:szCs w:val="20"/>
                <w:vertAlign w:val="subscript"/>
              </w:rPr>
              <m:t>t</m:t>
            </m:r>
          </m:e>
          <m:sup>
            <m:r>
              <w:rPr>
                <w:rFonts w:ascii="Cambria Math" w:hAnsi="Cambria Math"/>
                <w:sz w:val="20"/>
                <w:szCs w:val="20"/>
                <w:vertAlign w:val="subscript"/>
              </w:rPr>
              <m:t>''</m:t>
            </m:r>
          </m:sup>
        </m:sSup>
      </m:oMath>
      <w:r w:rsidRPr="006C520E">
        <w:rPr>
          <w:sz w:val="20"/>
          <w:szCs w:val="18"/>
        </w:rPr>
        <w:t xml:space="preserve">, and </w:t>
      </w:r>
      <m:oMath>
        <m:sSubSup>
          <m:sSubSupPr>
            <m:ctrlPr>
              <w:rPr>
                <w:rFonts w:ascii="Cambria Math" w:hAnsi="Cambria Math"/>
                <w:i/>
                <w:sz w:val="20"/>
                <w:szCs w:val="20"/>
                <w:vertAlign w:val="subscript"/>
              </w:rPr>
            </m:ctrlPr>
          </m:sSubSup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2</m:t>
            </m:r>
            <m:ctrlPr>
              <w:rPr>
                <w:rFonts w:ascii="Cambria Math" w:hAnsi="Cambria Math"/>
                <w:i/>
                <w:sz w:val="20"/>
                <w:szCs w:val="20"/>
              </w:rPr>
            </m:ctrlPr>
          </m:sub>
          <m:sup>
            <m:r>
              <w:rPr>
                <w:rFonts w:ascii="Cambria Math" w:hAnsi="Cambria Math"/>
                <w:sz w:val="20"/>
                <w:szCs w:val="20"/>
              </w:rPr>
              <m:t>''</m:t>
            </m:r>
          </m:sup>
        </m:sSubSup>
      </m:oMath>
      <w:r w:rsidRPr="006C520E">
        <w:rPr>
          <w:rFonts w:eastAsiaTheme="minorEastAsia"/>
          <w:sz w:val="20"/>
          <w:szCs w:val="20"/>
          <w:vertAlign w:val="subscript"/>
        </w:rPr>
        <w:t xml:space="preserve"> </w:t>
      </w:r>
      <w:r w:rsidRPr="006C520E">
        <w:rPr>
          <w:rFonts w:eastAsiaTheme="minorEastAsia"/>
          <w:sz w:val="20"/>
          <w:szCs w:val="20"/>
        </w:rPr>
        <w:t>are the bootstrap generated critical values</w:t>
      </w:r>
      <w:r w:rsidRPr="006C520E">
        <w:rPr>
          <w:sz w:val="20"/>
          <w:szCs w:val="18"/>
        </w:rPr>
        <w:t xml:space="preserve"> (with 1,000 replications) at 1% and 5% significance level, respectively. </w:t>
      </w:r>
    </w:p>
    <w:p w14:paraId="7C5D6C10" w14:textId="77777777" w:rsidR="00603ADE" w:rsidRPr="006C520E" w:rsidRDefault="00603ADE" w:rsidP="00BB23FE">
      <w:pPr>
        <w:spacing w:before="240" w:after="0"/>
      </w:pPr>
      <w:r w:rsidRPr="006C520E">
        <w:rPr>
          <w:b/>
          <w:bCs/>
        </w:rPr>
        <w:t>Table 4</w:t>
      </w:r>
      <w:r w:rsidRPr="006C520E">
        <w:t xml:space="preserve"> Long run estimates of oil, growth and the underground economy relationship</w:t>
      </w:r>
    </w:p>
    <w:tbl>
      <w:tblPr>
        <w:tblStyle w:val="TableGrid"/>
        <w:tblW w:w="5007"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450"/>
        <w:gridCol w:w="2066"/>
        <w:gridCol w:w="909"/>
        <w:gridCol w:w="1730"/>
        <w:gridCol w:w="9"/>
        <w:gridCol w:w="2227"/>
      </w:tblGrid>
      <w:tr w:rsidR="00603ADE" w:rsidRPr="006C520E" w14:paraId="488EADA9" w14:textId="77777777" w:rsidTr="009A58A3">
        <w:tc>
          <w:tcPr>
            <w:tcW w:w="1057" w:type="pct"/>
            <w:vMerge w:val="restart"/>
            <w:tcBorders>
              <w:top w:val="single" w:sz="4" w:space="0" w:color="auto"/>
              <w:bottom w:val="nil"/>
            </w:tcBorders>
            <w:vAlign w:val="center"/>
          </w:tcPr>
          <w:p w14:paraId="27078ACA" w14:textId="77777777" w:rsidR="00603ADE" w:rsidRPr="006C520E" w:rsidRDefault="00603ADE" w:rsidP="009A58A3">
            <w:pPr>
              <w:rPr>
                <w:rFonts w:cs="Times New Roman"/>
                <w:b/>
                <w:szCs w:val="24"/>
              </w:rPr>
            </w:pPr>
            <w:r w:rsidRPr="006C520E">
              <w:rPr>
                <w:rFonts w:cs="Times New Roman"/>
                <w:b/>
                <w:szCs w:val="24"/>
              </w:rPr>
              <w:t>Regressors</w:t>
            </w:r>
          </w:p>
        </w:tc>
        <w:tc>
          <w:tcPr>
            <w:tcW w:w="1342" w:type="pct"/>
            <w:gridSpan w:val="2"/>
            <w:tcBorders>
              <w:top w:val="single" w:sz="4" w:space="0" w:color="auto"/>
              <w:bottom w:val="single" w:sz="4" w:space="0" w:color="auto"/>
              <w:right w:val="nil"/>
            </w:tcBorders>
          </w:tcPr>
          <w:p w14:paraId="67642D4A" w14:textId="77777777" w:rsidR="00603ADE" w:rsidRPr="006C520E" w:rsidRDefault="00603ADE" w:rsidP="009A58A3">
            <w:pPr>
              <w:rPr>
                <w:rFonts w:cs="Times New Roman"/>
                <w:szCs w:val="24"/>
              </w:rPr>
            </w:pPr>
            <w:r w:rsidRPr="006C520E">
              <w:rPr>
                <w:rFonts w:cs="Times New Roman"/>
                <w:szCs w:val="24"/>
              </w:rPr>
              <w:t xml:space="preserve">Dependent Variable: </w:t>
            </w:r>
            <m:oMath>
              <m:r>
                <w:rPr>
                  <w:rFonts w:ascii="Cambria Math" w:hAnsi="Cambria Math" w:cs="Times New Roman"/>
                  <w:szCs w:val="24"/>
                </w:rPr>
                <m:t>∆y</m:t>
              </m:r>
            </m:oMath>
          </w:p>
        </w:tc>
        <w:tc>
          <w:tcPr>
            <w:tcW w:w="485" w:type="pct"/>
            <w:tcBorders>
              <w:top w:val="single" w:sz="4" w:space="0" w:color="auto"/>
              <w:left w:val="nil"/>
              <w:bottom w:val="nil"/>
              <w:right w:val="nil"/>
            </w:tcBorders>
          </w:tcPr>
          <w:p w14:paraId="092A5BC9" w14:textId="77777777" w:rsidR="00603ADE" w:rsidRPr="006C520E" w:rsidRDefault="00603ADE" w:rsidP="009A58A3">
            <w:pPr>
              <w:rPr>
                <w:rFonts w:cs="Times New Roman"/>
                <w:szCs w:val="24"/>
              </w:rPr>
            </w:pPr>
          </w:p>
        </w:tc>
        <w:tc>
          <w:tcPr>
            <w:tcW w:w="2116" w:type="pct"/>
            <w:gridSpan w:val="3"/>
            <w:tcBorders>
              <w:top w:val="single" w:sz="4" w:space="0" w:color="auto"/>
              <w:left w:val="nil"/>
              <w:bottom w:val="single" w:sz="4" w:space="0" w:color="auto"/>
            </w:tcBorders>
            <w:vAlign w:val="center"/>
          </w:tcPr>
          <w:p w14:paraId="390FD0B6" w14:textId="77777777" w:rsidR="00603ADE" w:rsidRPr="006C520E" w:rsidRDefault="00603ADE" w:rsidP="009A58A3">
            <w:pPr>
              <w:autoSpaceDE w:val="0"/>
              <w:autoSpaceDN w:val="0"/>
              <w:adjustRightInd w:val="0"/>
              <w:jc w:val="left"/>
              <w:rPr>
                <w:rFonts w:cs="Times New Roman"/>
                <w:szCs w:val="24"/>
              </w:rPr>
            </w:pPr>
            <w:r w:rsidRPr="006C520E">
              <w:rPr>
                <w:rFonts w:cs="Times New Roman"/>
                <w:szCs w:val="24"/>
              </w:rPr>
              <w:t xml:space="preserve">Model I: </w:t>
            </w:r>
            <w:proofErr w:type="gramStart"/>
            <w:r w:rsidRPr="006C520E">
              <w:rPr>
                <w:rFonts w:cs="Times New Roman"/>
                <w:szCs w:val="24"/>
              </w:rPr>
              <w:t>ARDL(</w:t>
            </w:r>
            <w:proofErr w:type="gramEnd"/>
            <w:r w:rsidRPr="006C520E">
              <w:rPr>
                <w:rFonts w:cs="Times New Roman"/>
                <w:szCs w:val="24"/>
              </w:rPr>
              <w:t>2,2,4,2,2,2,4,4,2)</w:t>
            </w:r>
          </w:p>
          <w:p w14:paraId="2EC6B3C7" w14:textId="77777777" w:rsidR="00603ADE" w:rsidRPr="006C520E" w:rsidRDefault="00603ADE" w:rsidP="009A58A3">
            <w:pPr>
              <w:autoSpaceDE w:val="0"/>
              <w:autoSpaceDN w:val="0"/>
              <w:adjustRightInd w:val="0"/>
              <w:jc w:val="left"/>
              <w:rPr>
                <w:rFonts w:cs="Times New Roman"/>
                <w:szCs w:val="24"/>
              </w:rPr>
            </w:pPr>
            <w:r w:rsidRPr="006C520E">
              <w:rPr>
                <w:rFonts w:cs="Times New Roman"/>
                <w:szCs w:val="24"/>
              </w:rPr>
              <w:t xml:space="preserve">Model II: </w:t>
            </w:r>
            <w:proofErr w:type="gramStart"/>
            <w:r w:rsidRPr="006C520E">
              <w:rPr>
                <w:rFonts w:cs="Times New Roman"/>
                <w:szCs w:val="24"/>
              </w:rPr>
              <w:t>ARDL(</w:t>
            </w:r>
            <w:proofErr w:type="gramEnd"/>
            <w:r w:rsidRPr="006C520E">
              <w:rPr>
                <w:rFonts w:cs="Times New Roman"/>
                <w:szCs w:val="24"/>
              </w:rPr>
              <w:t>2,4,4,2,2,0,4,4,2)</w:t>
            </w:r>
          </w:p>
          <w:p w14:paraId="17EBB515" w14:textId="77777777" w:rsidR="00603ADE" w:rsidRPr="006C520E" w:rsidRDefault="00603ADE" w:rsidP="009A58A3">
            <w:pPr>
              <w:autoSpaceDE w:val="0"/>
              <w:autoSpaceDN w:val="0"/>
              <w:adjustRightInd w:val="0"/>
              <w:jc w:val="left"/>
              <w:rPr>
                <w:rFonts w:ascii="Arial" w:hAnsi="Arial" w:cs="Arial"/>
                <w:sz w:val="18"/>
                <w:szCs w:val="18"/>
              </w:rPr>
            </w:pPr>
            <w:r w:rsidRPr="006C520E">
              <w:rPr>
                <w:rFonts w:cs="Times New Roman"/>
                <w:szCs w:val="24"/>
              </w:rPr>
              <w:t xml:space="preserve">Model III: </w:t>
            </w:r>
            <w:proofErr w:type="gramStart"/>
            <w:r w:rsidRPr="006C520E">
              <w:rPr>
                <w:rFonts w:cs="Times New Roman"/>
                <w:szCs w:val="24"/>
              </w:rPr>
              <w:t>ARDL(</w:t>
            </w:r>
            <w:proofErr w:type="gramEnd"/>
            <w:r w:rsidRPr="006C520E">
              <w:rPr>
                <w:rFonts w:cs="Times New Roman"/>
                <w:szCs w:val="24"/>
              </w:rPr>
              <w:t>1,1,1,1,1,0,1,4,2,4)</w:t>
            </w:r>
          </w:p>
        </w:tc>
      </w:tr>
      <w:tr w:rsidR="00603ADE" w:rsidRPr="006C520E" w14:paraId="2F24ED32" w14:textId="77777777" w:rsidTr="009A58A3">
        <w:tc>
          <w:tcPr>
            <w:tcW w:w="1057" w:type="pct"/>
            <w:vMerge/>
            <w:tcBorders>
              <w:top w:val="nil"/>
              <w:bottom w:val="single" w:sz="4" w:space="0" w:color="auto"/>
            </w:tcBorders>
          </w:tcPr>
          <w:p w14:paraId="24A90DBA" w14:textId="77777777" w:rsidR="00603ADE" w:rsidRPr="006C520E" w:rsidRDefault="00603ADE" w:rsidP="009A58A3">
            <w:pPr>
              <w:rPr>
                <w:rFonts w:cs="Times New Roman"/>
                <w:szCs w:val="24"/>
              </w:rPr>
            </w:pPr>
          </w:p>
        </w:tc>
        <w:tc>
          <w:tcPr>
            <w:tcW w:w="1342" w:type="pct"/>
            <w:gridSpan w:val="2"/>
            <w:tcBorders>
              <w:top w:val="single" w:sz="4" w:space="0" w:color="auto"/>
              <w:bottom w:val="single" w:sz="4" w:space="0" w:color="auto"/>
            </w:tcBorders>
          </w:tcPr>
          <w:p w14:paraId="0480708A" w14:textId="77777777" w:rsidR="00603ADE" w:rsidRPr="006C520E" w:rsidRDefault="00603ADE" w:rsidP="009A58A3">
            <w:pPr>
              <w:jc w:val="center"/>
              <w:rPr>
                <w:rFonts w:cs="Times New Roman"/>
                <w:szCs w:val="24"/>
              </w:rPr>
            </w:pPr>
            <w:r w:rsidRPr="006C520E">
              <w:rPr>
                <w:rFonts w:cs="Times New Roman"/>
                <w:szCs w:val="24"/>
              </w:rPr>
              <w:t>I</w:t>
            </w:r>
          </w:p>
        </w:tc>
        <w:tc>
          <w:tcPr>
            <w:tcW w:w="485" w:type="pct"/>
            <w:tcBorders>
              <w:top w:val="nil"/>
              <w:bottom w:val="single" w:sz="4" w:space="0" w:color="auto"/>
              <w:right w:val="nil"/>
            </w:tcBorders>
          </w:tcPr>
          <w:p w14:paraId="4E6A1B0D" w14:textId="77777777" w:rsidR="00603ADE" w:rsidRPr="006C520E" w:rsidRDefault="00603ADE" w:rsidP="009A58A3">
            <w:pPr>
              <w:rPr>
                <w:rFonts w:cs="Times New Roman"/>
                <w:szCs w:val="24"/>
              </w:rPr>
            </w:pPr>
          </w:p>
        </w:tc>
        <w:tc>
          <w:tcPr>
            <w:tcW w:w="928" w:type="pct"/>
            <w:gridSpan w:val="2"/>
            <w:tcBorders>
              <w:top w:val="single" w:sz="4" w:space="0" w:color="auto"/>
              <w:left w:val="nil"/>
              <w:bottom w:val="single" w:sz="4" w:space="0" w:color="auto"/>
            </w:tcBorders>
          </w:tcPr>
          <w:p w14:paraId="579C8F0C" w14:textId="77777777" w:rsidR="00603ADE" w:rsidRPr="006C520E" w:rsidRDefault="00603ADE" w:rsidP="009A58A3">
            <w:pPr>
              <w:rPr>
                <w:rFonts w:cs="Times New Roman"/>
                <w:szCs w:val="24"/>
              </w:rPr>
            </w:pPr>
            <w:r w:rsidRPr="006C520E">
              <w:rPr>
                <w:rFonts w:cs="Times New Roman"/>
                <w:szCs w:val="24"/>
              </w:rPr>
              <w:t>II</w:t>
            </w:r>
          </w:p>
        </w:tc>
        <w:tc>
          <w:tcPr>
            <w:tcW w:w="1188" w:type="pct"/>
            <w:tcBorders>
              <w:top w:val="single" w:sz="4" w:space="0" w:color="auto"/>
              <w:bottom w:val="single" w:sz="4" w:space="0" w:color="auto"/>
            </w:tcBorders>
          </w:tcPr>
          <w:p w14:paraId="2C28AA95" w14:textId="77777777" w:rsidR="00603ADE" w:rsidRPr="006C520E" w:rsidRDefault="00603ADE" w:rsidP="009A58A3">
            <w:pPr>
              <w:jc w:val="center"/>
              <w:rPr>
                <w:rFonts w:cs="Times New Roman"/>
                <w:szCs w:val="24"/>
              </w:rPr>
            </w:pPr>
            <w:r w:rsidRPr="006C520E">
              <w:rPr>
                <w:rFonts w:cs="Times New Roman"/>
                <w:szCs w:val="24"/>
              </w:rPr>
              <w:t>III</w:t>
            </w:r>
          </w:p>
        </w:tc>
      </w:tr>
      <w:tr w:rsidR="00603ADE" w:rsidRPr="006C520E" w14:paraId="10D9C0A4" w14:textId="77777777" w:rsidTr="009A58A3">
        <w:tc>
          <w:tcPr>
            <w:tcW w:w="5000" w:type="pct"/>
            <w:gridSpan w:val="7"/>
            <w:tcBorders>
              <w:top w:val="single" w:sz="4" w:space="0" w:color="auto"/>
              <w:bottom w:val="single" w:sz="4" w:space="0" w:color="auto"/>
            </w:tcBorders>
          </w:tcPr>
          <w:p w14:paraId="36AC738D" w14:textId="77777777" w:rsidR="00603ADE" w:rsidRPr="006C520E" w:rsidRDefault="00603ADE" w:rsidP="009A58A3">
            <w:pPr>
              <w:rPr>
                <w:rFonts w:cs="Times New Roman"/>
                <w:szCs w:val="24"/>
              </w:rPr>
            </w:pPr>
            <w:r w:rsidRPr="006C520E">
              <w:rPr>
                <w:rFonts w:cs="Times New Roman"/>
                <w:szCs w:val="24"/>
              </w:rPr>
              <w:t>Panel A: Long-run estimates</w:t>
            </w:r>
          </w:p>
        </w:tc>
      </w:tr>
      <w:tr w:rsidR="00603ADE" w:rsidRPr="006C520E" w14:paraId="78C16697" w14:textId="77777777" w:rsidTr="009A58A3">
        <w:tc>
          <w:tcPr>
            <w:tcW w:w="1057" w:type="pct"/>
            <w:tcBorders>
              <w:top w:val="single" w:sz="4" w:space="0" w:color="auto"/>
            </w:tcBorders>
          </w:tcPr>
          <w:p w14:paraId="0CC013F2"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m:t>
                </m:r>
              </m:oMath>
            </m:oMathPara>
          </w:p>
        </w:tc>
        <w:tc>
          <w:tcPr>
            <w:tcW w:w="1342" w:type="pct"/>
            <w:gridSpan w:val="2"/>
            <w:tcBorders>
              <w:top w:val="single" w:sz="4" w:space="0" w:color="auto"/>
            </w:tcBorders>
            <w:vAlign w:val="center"/>
          </w:tcPr>
          <w:p w14:paraId="3FC9DF84" w14:textId="77777777" w:rsidR="00603ADE" w:rsidRPr="006C520E" w:rsidRDefault="00603ADE" w:rsidP="009A58A3">
            <w:pPr>
              <w:rPr>
                <w:rFonts w:cs="Times New Roman"/>
                <w:szCs w:val="24"/>
              </w:rPr>
            </w:pPr>
            <w:r w:rsidRPr="006C520E">
              <w:rPr>
                <w:rFonts w:cs="Times New Roman"/>
                <w:szCs w:val="24"/>
              </w:rPr>
              <w:t>0.0704 (</w:t>
            </w:r>
            <w:proofErr w:type="gramStart"/>
            <w:r w:rsidRPr="006C520E">
              <w:rPr>
                <w:rFonts w:cs="Times New Roman"/>
                <w:szCs w:val="24"/>
              </w:rPr>
              <w:t>0.018)</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tcBorders>
              <w:top w:val="single" w:sz="4" w:space="0" w:color="auto"/>
            </w:tcBorders>
            <w:vAlign w:val="center"/>
          </w:tcPr>
          <w:p w14:paraId="3E90920F" w14:textId="77777777" w:rsidR="00603ADE" w:rsidRPr="006C520E" w:rsidRDefault="00603ADE" w:rsidP="009A58A3">
            <w:pPr>
              <w:rPr>
                <w:rFonts w:cs="Times New Roman"/>
                <w:szCs w:val="24"/>
                <w:vertAlign w:val="superscript"/>
              </w:rPr>
            </w:pPr>
            <w:r w:rsidRPr="006C520E">
              <w:rPr>
                <w:rFonts w:cs="Times New Roman"/>
                <w:szCs w:val="24"/>
              </w:rPr>
              <w:t>0.6497 (</w:t>
            </w:r>
            <w:proofErr w:type="gramStart"/>
            <w:r w:rsidRPr="006C520E">
              <w:rPr>
                <w:rFonts w:cs="Times New Roman"/>
                <w:szCs w:val="24"/>
              </w:rPr>
              <w:t>0.186)</w:t>
            </w:r>
            <w:r w:rsidRPr="006C520E">
              <w:rPr>
                <w:rFonts w:cs="Times New Roman"/>
                <w:szCs w:val="24"/>
                <w:vertAlign w:val="superscript"/>
              </w:rPr>
              <w:t>*</w:t>
            </w:r>
            <w:proofErr w:type="gramEnd"/>
            <w:r w:rsidRPr="006C520E">
              <w:rPr>
                <w:rFonts w:cs="Times New Roman"/>
                <w:szCs w:val="24"/>
                <w:vertAlign w:val="superscript"/>
              </w:rPr>
              <w:t>**</w:t>
            </w:r>
          </w:p>
        </w:tc>
        <w:tc>
          <w:tcPr>
            <w:tcW w:w="1193" w:type="pct"/>
            <w:gridSpan w:val="2"/>
            <w:tcBorders>
              <w:top w:val="single" w:sz="4" w:space="0" w:color="auto"/>
            </w:tcBorders>
            <w:vAlign w:val="center"/>
          </w:tcPr>
          <w:p w14:paraId="4B4031C0" w14:textId="77777777" w:rsidR="00603ADE" w:rsidRPr="006C520E" w:rsidRDefault="00603ADE" w:rsidP="009A58A3">
            <w:pPr>
              <w:rPr>
                <w:rFonts w:cs="Times New Roman"/>
                <w:szCs w:val="24"/>
                <w:vertAlign w:val="superscript"/>
              </w:rPr>
            </w:pPr>
            <w:r w:rsidRPr="006C520E">
              <w:rPr>
                <w:rFonts w:cs="Times New Roman"/>
                <w:szCs w:val="24"/>
              </w:rPr>
              <w:t>0.0846 (</w:t>
            </w:r>
            <w:proofErr w:type="gramStart"/>
            <w:r w:rsidRPr="006C520E">
              <w:rPr>
                <w:rFonts w:cs="Times New Roman"/>
                <w:szCs w:val="24"/>
              </w:rPr>
              <w:t>0.026)</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4077D86E" w14:textId="77777777" w:rsidTr="009A58A3">
        <w:tc>
          <w:tcPr>
            <w:tcW w:w="1057" w:type="pct"/>
          </w:tcPr>
          <w:p w14:paraId="2E89B8E0"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ue</m:t>
                </m:r>
              </m:oMath>
            </m:oMathPara>
          </w:p>
        </w:tc>
        <w:tc>
          <w:tcPr>
            <w:tcW w:w="1342" w:type="pct"/>
            <w:gridSpan w:val="2"/>
            <w:vAlign w:val="center"/>
          </w:tcPr>
          <w:p w14:paraId="74863354" w14:textId="77777777" w:rsidR="00603ADE" w:rsidRPr="006C520E" w:rsidRDefault="00603ADE" w:rsidP="009A58A3">
            <w:pPr>
              <w:rPr>
                <w:rFonts w:cs="Times New Roman"/>
                <w:szCs w:val="24"/>
              </w:rPr>
            </w:pPr>
            <w:r w:rsidRPr="006C520E">
              <w:rPr>
                <w:rFonts w:cs="Times New Roman"/>
                <w:szCs w:val="24"/>
              </w:rPr>
              <w:t>-0.1062 (</w:t>
            </w:r>
            <w:proofErr w:type="gramStart"/>
            <w:r w:rsidRPr="006C520E">
              <w:rPr>
                <w:rFonts w:cs="Times New Roman"/>
                <w:szCs w:val="24"/>
              </w:rPr>
              <w:t>0.019)</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vAlign w:val="center"/>
          </w:tcPr>
          <w:p w14:paraId="5B6C0211" w14:textId="77777777" w:rsidR="00603ADE" w:rsidRPr="006C520E" w:rsidRDefault="00603ADE" w:rsidP="009A58A3">
            <w:pPr>
              <w:rPr>
                <w:rFonts w:cs="Times New Roman"/>
                <w:szCs w:val="24"/>
              </w:rPr>
            </w:pPr>
          </w:p>
        </w:tc>
        <w:tc>
          <w:tcPr>
            <w:tcW w:w="1193" w:type="pct"/>
            <w:gridSpan w:val="2"/>
            <w:vAlign w:val="center"/>
          </w:tcPr>
          <w:p w14:paraId="59983D63" w14:textId="77777777" w:rsidR="00603ADE" w:rsidRPr="006C520E" w:rsidRDefault="00603ADE" w:rsidP="009A58A3">
            <w:pPr>
              <w:rPr>
                <w:rFonts w:cs="Times New Roman"/>
                <w:szCs w:val="24"/>
                <w:vertAlign w:val="superscript"/>
              </w:rPr>
            </w:pPr>
            <w:r w:rsidRPr="006C520E">
              <w:rPr>
                <w:rFonts w:cs="Times New Roman"/>
                <w:szCs w:val="24"/>
              </w:rPr>
              <w:t>-0.0661 (</w:t>
            </w:r>
            <w:proofErr w:type="gramStart"/>
            <w:r w:rsidRPr="006C520E">
              <w:rPr>
                <w:rFonts w:cs="Times New Roman"/>
                <w:szCs w:val="24"/>
              </w:rPr>
              <w:t>0.018)</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4F8BA52F" w14:textId="77777777" w:rsidTr="009A58A3">
        <w:tc>
          <w:tcPr>
            <w:tcW w:w="1057" w:type="pct"/>
          </w:tcPr>
          <w:p w14:paraId="50B6C927"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oil×ue</m:t>
                </m:r>
              </m:oMath>
            </m:oMathPara>
          </w:p>
        </w:tc>
        <w:tc>
          <w:tcPr>
            <w:tcW w:w="1342" w:type="pct"/>
            <w:gridSpan w:val="2"/>
            <w:vAlign w:val="center"/>
          </w:tcPr>
          <w:p w14:paraId="0F4FCB2A" w14:textId="77777777" w:rsidR="00603ADE" w:rsidRPr="006C520E" w:rsidRDefault="00603ADE" w:rsidP="009A58A3">
            <w:pPr>
              <w:rPr>
                <w:rFonts w:cs="Times New Roman"/>
                <w:szCs w:val="24"/>
              </w:rPr>
            </w:pPr>
          </w:p>
        </w:tc>
        <w:tc>
          <w:tcPr>
            <w:tcW w:w="1408" w:type="pct"/>
            <w:gridSpan w:val="2"/>
            <w:vAlign w:val="center"/>
          </w:tcPr>
          <w:p w14:paraId="0331D69D" w14:textId="77777777" w:rsidR="00603ADE" w:rsidRPr="006C520E" w:rsidRDefault="00603ADE" w:rsidP="009A58A3">
            <w:pPr>
              <w:rPr>
                <w:rFonts w:cs="Times New Roman"/>
                <w:szCs w:val="24"/>
              </w:rPr>
            </w:pPr>
            <w:r w:rsidRPr="006C520E">
              <w:rPr>
                <w:rFonts w:cs="Times New Roman"/>
                <w:szCs w:val="24"/>
              </w:rPr>
              <w:t>-0.0103 (</w:t>
            </w:r>
            <w:proofErr w:type="gramStart"/>
            <w:r w:rsidRPr="006C520E">
              <w:rPr>
                <w:rFonts w:cs="Times New Roman"/>
                <w:szCs w:val="24"/>
              </w:rPr>
              <w:t>0.003)</w:t>
            </w:r>
            <w:r w:rsidRPr="006C520E">
              <w:rPr>
                <w:rFonts w:cs="Times New Roman"/>
                <w:szCs w:val="24"/>
                <w:vertAlign w:val="superscript"/>
              </w:rPr>
              <w:t>*</w:t>
            </w:r>
            <w:proofErr w:type="gramEnd"/>
            <w:r w:rsidRPr="006C520E">
              <w:rPr>
                <w:rFonts w:cs="Times New Roman"/>
                <w:szCs w:val="24"/>
                <w:vertAlign w:val="superscript"/>
              </w:rPr>
              <w:t>**</w:t>
            </w:r>
          </w:p>
        </w:tc>
        <w:tc>
          <w:tcPr>
            <w:tcW w:w="1193" w:type="pct"/>
            <w:gridSpan w:val="2"/>
            <w:vAlign w:val="center"/>
          </w:tcPr>
          <w:p w14:paraId="2A02FC09" w14:textId="77777777" w:rsidR="00603ADE" w:rsidRPr="006C520E" w:rsidRDefault="00603ADE" w:rsidP="009A58A3">
            <w:pPr>
              <w:rPr>
                <w:rFonts w:cs="Times New Roman"/>
                <w:szCs w:val="24"/>
                <w:vertAlign w:val="superscript"/>
              </w:rPr>
            </w:pPr>
            <w:r w:rsidRPr="006C520E">
              <w:rPr>
                <w:rFonts w:cs="Times New Roman"/>
                <w:szCs w:val="24"/>
              </w:rPr>
              <w:t>-0.0066 (</w:t>
            </w:r>
            <w:proofErr w:type="gramStart"/>
            <w:r w:rsidRPr="006C520E">
              <w:rPr>
                <w:rFonts w:cs="Times New Roman"/>
                <w:szCs w:val="24"/>
              </w:rPr>
              <w:t>0.004)</w:t>
            </w:r>
            <w:r w:rsidRPr="006C520E">
              <w:rPr>
                <w:rFonts w:cs="Times New Roman"/>
                <w:szCs w:val="24"/>
                <w:vertAlign w:val="superscript"/>
              </w:rPr>
              <w:t>*</w:t>
            </w:r>
            <w:proofErr w:type="gramEnd"/>
          </w:p>
        </w:tc>
      </w:tr>
      <w:tr w:rsidR="00603ADE" w:rsidRPr="006C520E" w14:paraId="3BC84A95" w14:textId="77777777" w:rsidTr="009A58A3">
        <w:tc>
          <w:tcPr>
            <w:tcW w:w="1057" w:type="pct"/>
            <w:vAlign w:val="center"/>
          </w:tcPr>
          <w:p w14:paraId="3B4CEA98" w14:textId="77777777" w:rsidR="00603ADE" w:rsidRPr="006C520E" w:rsidRDefault="00603ADE" w:rsidP="009A58A3">
            <w:pPr>
              <w:rPr>
                <w:rFonts w:cs="Times New Roman"/>
                <w:szCs w:val="24"/>
              </w:rPr>
            </w:pPr>
            <m:oMathPara>
              <m:oMathParaPr>
                <m:jc m:val="left"/>
              </m:oMathParaPr>
              <m:oMath>
                <m:r>
                  <w:rPr>
                    <w:rFonts w:ascii="Cambria Math" w:hAnsi="Cambria Math"/>
                  </w:rPr>
                  <m:t>debt</m:t>
                </m:r>
              </m:oMath>
            </m:oMathPara>
          </w:p>
        </w:tc>
        <w:tc>
          <w:tcPr>
            <w:tcW w:w="1342" w:type="pct"/>
            <w:gridSpan w:val="2"/>
            <w:vAlign w:val="center"/>
          </w:tcPr>
          <w:p w14:paraId="10D09FFD" w14:textId="77777777" w:rsidR="00603ADE" w:rsidRPr="006C520E" w:rsidRDefault="00603ADE" w:rsidP="009A58A3">
            <w:pPr>
              <w:rPr>
                <w:rFonts w:cs="Times New Roman"/>
                <w:szCs w:val="24"/>
                <w:vertAlign w:val="superscript"/>
              </w:rPr>
            </w:pPr>
            <w:r w:rsidRPr="006C520E">
              <w:rPr>
                <w:rFonts w:cs="Times New Roman"/>
                <w:szCs w:val="24"/>
              </w:rPr>
              <w:t>-0.0137 (</w:t>
            </w:r>
            <w:proofErr w:type="gramStart"/>
            <w:r w:rsidRPr="006C520E">
              <w:rPr>
                <w:rFonts w:cs="Times New Roman"/>
                <w:szCs w:val="24"/>
              </w:rPr>
              <w:t>0.003)</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vAlign w:val="center"/>
          </w:tcPr>
          <w:p w14:paraId="2E966D6D" w14:textId="77777777" w:rsidR="00603ADE" w:rsidRPr="006C520E" w:rsidRDefault="00603ADE" w:rsidP="009A58A3">
            <w:pPr>
              <w:rPr>
                <w:rFonts w:cs="Times New Roman"/>
                <w:szCs w:val="24"/>
              </w:rPr>
            </w:pPr>
            <w:r w:rsidRPr="006C520E">
              <w:rPr>
                <w:rFonts w:cs="Times New Roman"/>
                <w:szCs w:val="24"/>
              </w:rPr>
              <w:t>-0.0067 (</w:t>
            </w:r>
            <w:proofErr w:type="gramStart"/>
            <w:r w:rsidRPr="006C520E">
              <w:rPr>
                <w:rFonts w:cs="Times New Roman"/>
                <w:szCs w:val="24"/>
              </w:rPr>
              <w:t>0.004)</w:t>
            </w:r>
            <w:r w:rsidRPr="006C520E">
              <w:rPr>
                <w:rFonts w:cs="Times New Roman"/>
                <w:szCs w:val="24"/>
                <w:vertAlign w:val="superscript"/>
              </w:rPr>
              <w:t>*</w:t>
            </w:r>
            <w:proofErr w:type="gramEnd"/>
          </w:p>
        </w:tc>
        <w:tc>
          <w:tcPr>
            <w:tcW w:w="1193" w:type="pct"/>
            <w:gridSpan w:val="2"/>
            <w:vAlign w:val="center"/>
          </w:tcPr>
          <w:p w14:paraId="5BF0B122" w14:textId="77777777" w:rsidR="00603ADE" w:rsidRPr="006C520E" w:rsidRDefault="00603ADE" w:rsidP="009A58A3">
            <w:pPr>
              <w:rPr>
                <w:rFonts w:cs="Times New Roman"/>
                <w:szCs w:val="24"/>
                <w:vertAlign w:val="superscript"/>
              </w:rPr>
            </w:pPr>
            <w:r w:rsidRPr="006C520E">
              <w:rPr>
                <w:rFonts w:cs="Times New Roman"/>
                <w:szCs w:val="24"/>
              </w:rPr>
              <w:t>-0.0131 (</w:t>
            </w:r>
            <w:proofErr w:type="gramStart"/>
            <w:r w:rsidRPr="006C520E">
              <w:rPr>
                <w:rFonts w:cs="Times New Roman"/>
                <w:szCs w:val="24"/>
              </w:rPr>
              <w:t>0.004)</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252C2B26" w14:textId="77777777" w:rsidTr="009A58A3">
        <w:tc>
          <w:tcPr>
            <w:tcW w:w="1057" w:type="pct"/>
            <w:vAlign w:val="center"/>
          </w:tcPr>
          <w:p w14:paraId="0DE1F8D2" w14:textId="77777777" w:rsidR="00603ADE" w:rsidRPr="006C520E" w:rsidRDefault="00603ADE" w:rsidP="009A58A3">
            <w:pPr>
              <w:rPr>
                <w:rFonts w:cs="Times New Roman"/>
                <w:szCs w:val="24"/>
              </w:rPr>
            </w:pPr>
            <m:oMathPara>
              <m:oMathParaPr>
                <m:jc m:val="left"/>
              </m:oMathParaPr>
              <m:oMath>
                <m:r>
                  <w:rPr>
                    <w:rFonts w:ascii="Cambria Math" w:hAnsi="Cambria Math"/>
                  </w:rPr>
                  <m:t>dinv</m:t>
                </m:r>
              </m:oMath>
            </m:oMathPara>
          </w:p>
        </w:tc>
        <w:tc>
          <w:tcPr>
            <w:tcW w:w="1342" w:type="pct"/>
            <w:gridSpan w:val="2"/>
            <w:vAlign w:val="center"/>
          </w:tcPr>
          <w:p w14:paraId="311336BB" w14:textId="77777777" w:rsidR="00603ADE" w:rsidRPr="006C520E" w:rsidRDefault="00603ADE" w:rsidP="009A58A3">
            <w:pPr>
              <w:rPr>
                <w:rFonts w:cs="Times New Roman"/>
                <w:szCs w:val="24"/>
                <w:vertAlign w:val="superscript"/>
              </w:rPr>
            </w:pPr>
            <w:r w:rsidRPr="006C520E">
              <w:rPr>
                <w:rFonts w:cs="Times New Roman"/>
                <w:szCs w:val="24"/>
              </w:rPr>
              <w:t>0.0331 (</w:t>
            </w:r>
            <w:proofErr w:type="gramStart"/>
            <w:r w:rsidRPr="006C520E">
              <w:rPr>
                <w:rFonts w:cs="Times New Roman"/>
                <w:szCs w:val="24"/>
              </w:rPr>
              <w:t>0.018)</w:t>
            </w:r>
            <w:r w:rsidRPr="006C520E">
              <w:rPr>
                <w:rFonts w:cs="Times New Roman"/>
                <w:szCs w:val="24"/>
                <w:vertAlign w:val="superscript"/>
              </w:rPr>
              <w:t>*</w:t>
            </w:r>
            <w:proofErr w:type="gramEnd"/>
          </w:p>
        </w:tc>
        <w:tc>
          <w:tcPr>
            <w:tcW w:w="1408" w:type="pct"/>
            <w:gridSpan w:val="2"/>
            <w:vAlign w:val="center"/>
          </w:tcPr>
          <w:p w14:paraId="49275E61" w14:textId="77777777" w:rsidR="00603ADE" w:rsidRPr="006C520E" w:rsidRDefault="00603ADE" w:rsidP="009A58A3">
            <w:pPr>
              <w:rPr>
                <w:rFonts w:cs="Times New Roman"/>
                <w:szCs w:val="24"/>
              </w:rPr>
            </w:pPr>
            <w:r w:rsidRPr="006C520E">
              <w:rPr>
                <w:rFonts w:cs="Times New Roman"/>
                <w:szCs w:val="24"/>
              </w:rPr>
              <w:t>0.0539 (</w:t>
            </w:r>
            <w:proofErr w:type="gramStart"/>
            <w:r w:rsidRPr="006C520E">
              <w:rPr>
                <w:rFonts w:cs="Times New Roman"/>
                <w:szCs w:val="24"/>
              </w:rPr>
              <w:t>0.032)</w:t>
            </w:r>
            <w:r w:rsidRPr="006C520E">
              <w:rPr>
                <w:rFonts w:cs="Times New Roman"/>
                <w:szCs w:val="24"/>
                <w:vertAlign w:val="superscript"/>
              </w:rPr>
              <w:t>*</w:t>
            </w:r>
            <w:proofErr w:type="gramEnd"/>
          </w:p>
        </w:tc>
        <w:tc>
          <w:tcPr>
            <w:tcW w:w="1193" w:type="pct"/>
            <w:gridSpan w:val="2"/>
            <w:vAlign w:val="center"/>
          </w:tcPr>
          <w:p w14:paraId="065C7CCB" w14:textId="77777777" w:rsidR="00603ADE" w:rsidRPr="006C520E" w:rsidRDefault="00603ADE" w:rsidP="009A58A3">
            <w:pPr>
              <w:rPr>
                <w:rFonts w:cs="Times New Roman"/>
                <w:szCs w:val="24"/>
              </w:rPr>
            </w:pPr>
            <w:r w:rsidRPr="006C520E">
              <w:rPr>
                <w:rFonts w:cs="Times New Roman"/>
                <w:szCs w:val="24"/>
              </w:rPr>
              <w:t>-0.0039 (0.015)</w:t>
            </w:r>
          </w:p>
        </w:tc>
      </w:tr>
      <w:tr w:rsidR="00603ADE" w:rsidRPr="006C520E" w14:paraId="485591DE" w14:textId="77777777" w:rsidTr="009A58A3">
        <w:tc>
          <w:tcPr>
            <w:tcW w:w="1057" w:type="pct"/>
            <w:vAlign w:val="center"/>
          </w:tcPr>
          <w:p w14:paraId="2A801B83" w14:textId="77777777" w:rsidR="00603ADE" w:rsidRPr="006C520E" w:rsidRDefault="00603ADE" w:rsidP="009A58A3">
            <w:pPr>
              <w:rPr>
                <w:rFonts w:cs="Times New Roman"/>
                <w:szCs w:val="24"/>
              </w:rPr>
            </w:pPr>
            <m:oMathPara>
              <m:oMathParaPr>
                <m:jc m:val="left"/>
              </m:oMathParaPr>
              <m:oMath>
                <m:r>
                  <w:rPr>
                    <w:rFonts w:ascii="Cambria Math" w:hAnsi="Cambria Math"/>
                  </w:rPr>
                  <m:t>fx</m:t>
                </m:r>
              </m:oMath>
            </m:oMathPara>
          </w:p>
        </w:tc>
        <w:tc>
          <w:tcPr>
            <w:tcW w:w="1342" w:type="pct"/>
            <w:gridSpan w:val="2"/>
            <w:vAlign w:val="center"/>
          </w:tcPr>
          <w:p w14:paraId="0FAC27BE" w14:textId="77777777" w:rsidR="00603ADE" w:rsidRPr="006C520E" w:rsidRDefault="00603ADE" w:rsidP="009A58A3">
            <w:pPr>
              <w:rPr>
                <w:rFonts w:cs="Times New Roman"/>
                <w:szCs w:val="24"/>
              </w:rPr>
            </w:pPr>
            <w:r w:rsidRPr="006C520E">
              <w:rPr>
                <w:rFonts w:cs="Times New Roman"/>
                <w:szCs w:val="24"/>
              </w:rPr>
              <w:t>0.0019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vAlign w:val="center"/>
          </w:tcPr>
          <w:p w14:paraId="5A7D4B82" w14:textId="77777777" w:rsidR="00603ADE" w:rsidRPr="006C520E" w:rsidRDefault="00603ADE" w:rsidP="009A58A3">
            <w:pPr>
              <w:rPr>
                <w:rFonts w:cs="Times New Roman"/>
                <w:szCs w:val="24"/>
              </w:rPr>
            </w:pPr>
            <w:r w:rsidRPr="006C520E">
              <w:rPr>
                <w:rFonts w:cs="Times New Roman"/>
                <w:szCs w:val="24"/>
              </w:rPr>
              <w:t>0.0021 (</w:t>
            </w:r>
            <w:proofErr w:type="gramStart"/>
            <w:r w:rsidRPr="006C520E">
              <w:rPr>
                <w:rFonts w:cs="Times New Roman"/>
                <w:szCs w:val="24"/>
              </w:rPr>
              <w:t>0.001)</w:t>
            </w:r>
            <w:r w:rsidRPr="006C520E">
              <w:rPr>
                <w:rFonts w:cs="Times New Roman"/>
                <w:szCs w:val="24"/>
                <w:vertAlign w:val="superscript"/>
              </w:rPr>
              <w:t>*</w:t>
            </w:r>
            <w:proofErr w:type="gramEnd"/>
          </w:p>
        </w:tc>
        <w:tc>
          <w:tcPr>
            <w:tcW w:w="1193" w:type="pct"/>
            <w:gridSpan w:val="2"/>
            <w:vAlign w:val="center"/>
          </w:tcPr>
          <w:p w14:paraId="13C6AFDE" w14:textId="77777777" w:rsidR="00603ADE" w:rsidRPr="006C520E" w:rsidRDefault="00603ADE" w:rsidP="009A58A3">
            <w:pPr>
              <w:rPr>
                <w:rFonts w:cs="Times New Roman"/>
                <w:szCs w:val="24"/>
              </w:rPr>
            </w:pPr>
            <w:r w:rsidRPr="006C520E">
              <w:rPr>
                <w:rFonts w:cs="Times New Roman"/>
                <w:szCs w:val="24"/>
              </w:rPr>
              <w:t>0.0052 (</w:t>
            </w:r>
            <w:proofErr w:type="gramStart"/>
            <w:r w:rsidRPr="006C520E">
              <w:rPr>
                <w:rFonts w:cs="Times New Roman"/>
                <w:szCs w:val="24"/>
              </w:rPr>
              <w:t>0.002)</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4A7286F3" w14:textId="77777777" w:rsidTr="009A58A3">
        <w:tc>
          <w:tcPr>
            <w:tcW w:w="1057" w:type="pct"/>
            <w:vAlign w:val="center"/>
          </w:tcPr>
          <w:p w14:paraId="15C9D0A9" w14:textId="77777777" w:rsidR="00603ADE" w:rsidRPr="006C520E" w:rsidRDefault="00603ADE" w:rsidP="009A58A3">
            <w:pPr>
              <w:jc w:val="left"/>
              <w:rPr>
                <w:rFonts w:eastAsia="Calibri" w:cs="Times New Roman"/>
                <w:szCs w:val="24"/>
              </w:rPr>
            </w:pPr>
            <m:oMathPara>
              <m:oMathParaPr>
                <m:jc m:val="left"/>
              </m:oMathParaPr>
              <m:oMath>
                <m:r>
                  <w:rPr>
                    <w:rFonts w:ascii="Cambria Math" w:hAnsi="Cambria Math"/>
                  </w:rPr>
                  <m:t>elec</m:t>
                </m:r>
              </m:oMath>
            </m:oMathPara>
          </w:p>
        </w:tc>
        <w:tc>
          <w:tcPr>
            <w:tcW w:w="1342" w:type="pct"/>
            <w:gridSpan w:val="2"/>
            <w:vAlign w:val="center"/>
          </w:tcPr>
          <w:p w14:paraId="7A56A328" w14:textId="77777777" w:rsidR="00603ADE" w:rsidRPr="006C520E" w:rsidRDefault="00603ADE" w:rsidP="009A58A3">
            <w:pPr>
              <w:rPr>
                <w:rFonts w:cs="Times New Roman"/>
                <w:szCs w:val="24"/>
              </w:rPr>
            </w:pPr>
            <w:r w:rsidRPr="006C520E">
              <w:rPr>
                <w:rFonts w:cs="Times New Roman"/>
                <w:szCs w:val="24"/>
              </w:rPr>
              <w:t>-0.0152 (0.012)</w:t>
            </w:r>
          </w:p>
        </w:tc>
        <w:tc>
          <w:tcPr>
            <w:tcW w:w="1408" w:type="pct"/>
            <w:gridSpan w:val="2"/>
            <w:vAlign w:val="center"/>
          </w:tcPr>
          <w:p w14:paraId="68BE2579" w14:textId="77777777" w:rsidR="00603ADE" w:rsidRPr="006C520E" w:rsidRDefault="00603ADE" w:rsidP="009A58A3">
            <w:pPr>
              <w:rPr>
                <w:rFonts w:cs="Times New Roman"/>
                <w:szCs w:val="24"/>
              </w:rPr>
            </w:pPr>
            <w:r w:rsidRPr="006C520E">
              <w:rPr>
                <w:rFonts w:cs="Times New Roman"/>
                <w:szCs w:val="24"/>
              </w:rPr>
              <w:t>0.0002 (0.015)</w:t>
            </w:r>
          </w:p>
        </w:tc>
        <w:tc>
          <w:tcPr>
            <w:tcW w:w="1193" w:type="pct"/>
            <w:gridSpan w:val="2"/>
            <w:vAlign w:val="center"/>
          </w:tcPr>
          <w:p w14:paraId="61B07B2E" w14:textId="77777777" w:rsidR="00603ADE" w:rsidRPr="006C520E" w:rsidRDefault="00603ADE" w:rsidP="009A58A3">
            <w:pPr>
              <w:rPr>
                <w:rFonts w:cs="Times New Roman"/>
                <w:szCs w:val="24"/>
              </w:rPr>
            </w:pPr>
            <w:r w:rsidRPr="006C520E">
              <w:rPr>
                <w:rFonts w:cs="Times New Roman"/>
                <w:szCs w:val="24"/>
              </w:rPr>
              <w:t>-0.0358 (</w:t>
            </w:r>
            <w:proofErr w:type="gramStart"/>
            <w:r w:rsidRPr="006C520E">
              <w:rPr>
                <w:rFonts w:cs="Times New Roman"/>
                <w:szCs w:val="24"/>
              </w:rPr>
              <w:t>0.017)</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73FF85F8" w14:textId="77777777" w:rsidTr="009A58A3">
        <w:tc>
          <w:tcPr>
            <w:tcW w:w="1057" w:type="pct"/>
            <w:vAlign w:val="center"/>
          </w:tcPr>
          <w:p w14:paraId="26B0000E" w14:textId="77777777" w:rsidR="00603ADE" w:rsidRPr="006C520E" w:rsidRDefault="00603ADE" w:rsidP="009A58A3">
            <w:pPr>
              <w:jc w:val="left"/>
              <w:rPr>
                <w:rFonts w:eastAsia="Calibri" w:cs="Times New Roman"/>
                <w:szCs w:val="24"/>
              </w:rPr>
            </w:pPr>
            <m:oMathPara>
              <m:oMathParaPr>
                <m:jc m:val="left"/>
              </m:oMathParaPr>
              <m:oMath>
                <m:r>
                  <w:rPr>
                    <w:rFonts w:ascii="Cambria Math" w:hAnsi="Cambria Math"/>
                  </w:rPr>
                  <m:t>fbal</m:t>
                </m:r>
              </m:oMath>
            </m:oMathPara>
          </w:p>
        </w:tc>
        <w:tc>
          <w:tcPr>
            <w:tcW w:w="1342" w:type="pct"/>
            <w:gridSpan w:val="2"/>
            <w:vAlign w:val="center"/>
          </w:tcPr>
          <w:p w14:paraId="48FEE284" w14:textId="77777777" w:rsidR="00603ADE" w:rsidRPr="006C520E" w:rsidRDefault="00603ADE" w:rsidP="009A58A3">
            <w:pPr>
              <w:rPr>
                <w:rFonts w:cs="Times New Roman"/>
                <w:szCs w:val="24"/>
              </w:rPr>
            </w:pPr>
            <w:r w:rsidRPr="006C520E">
              <w:rPr>
                <w:rFonts w:cs="Times New Roman"/>
                <w:szCs w:val="24"/>
              </w:rPr>
              <w:t>-0.0231 (</w:t>
            </w:r>
            <w:proofErr w:type="gramStart"/>
            <w:r w:rsidRPr="006C520E">
              <w:rPr>
                <w:rFonts w:cs="Times New Roman"/>
                <w:szCs w:val="24"/>
              </w:rPr>
              <w:t>0.013)</w:t>
            </w:r>
            <w:r w:rsidRPr="006C520E">
              <w:rPr>
                <w:rFonts w:cs="Times New Roman"/>
                <w:szCs w:val="24"/>
                <w:vertAlign w:val="superscript"/>
              </w:rPr>
              <w:t>*</w:t>
            </w:r>
            <w:proofErr w:type="gramEnd"/>
          </w:p>
        </w:tc>
        <w:tc>
          <w:tcPr>
            <w:tcW w:w="1408" w:type="pct"/>
            <w:gridSpan w:val="2"/>
            <w:vAlign w:val="center"/>
          </w:tcPr>
          <w:p w14:paraId="7544BC17" w14:textId="77777777" w:rsidR="00603ADE" w:rsidRPr="006C520E" w:rsidRDefault="00603ADE" w:rsidP="009A58A3">
            <w:pPr>
              <w:rPr>
                <w:rFonts w:cs="Times New Roman"/>
                <w:szCs w:val="24"/>
              </w:rPr>
            </w:pPr>
            <w:r w:rsidRPr="006C520E">
              <w:rPr>
                <w:rFonts w:cs="Times New Roman"/>
                <w:szCs w:val="24"/>
              </w:rPr>
              <w:t>0.0048 (0.021)</w:t>
            </w:r>
          </w:p>
        </w:tc>
        <w:tc>
          <w:tcPr>
            <w:tcW w:w="1193" w:type="pct"/>
            <w:gridSpan w:val="2"/>
            <w:vAlign w:val="center"/>
          </w:tcPr>
          <w:p w14:paraId="68F0ABE6" w14:textId="77777777" w:rsidR="00603ADE" w:rsidRPr="006C520E" w:rsidRDefault="00603ADE" w:rsidP="009A58A3">
            <w:pPr>
              <w:rPr>
                <w:rFonts w:cs="Times New Roman"/>
                <w:szCs w:val="24"/>
              </w:rPr>
            </w:pPr>
            <w:r w:rsidRPr="006C520E">
              <w:rPr>
                <w:rFonts w:cs="Times New Roman"/>
                <w:szCs w:val="24"/>
              </w:rPr>
              <w:t>-0.0191 (0.015)</w:t>
            </w:r>
          </w:p>
        </w:tc>
      </w:tr>
      <w:tr w:rsidR="00603ADE" w:rsidRPr="006C520E" w14:paraId="5AAB13F8" w14:textId="77777777" w:rsidTr="009A58A3">
        <w:tc>
          <w:tcPr>
            <w:tcW w:w="1057" w:type="pct"/>
            <w:vAlign w:val="center"/>
          </w:tcPr>
          <w:p w14:paraId="2CC37F1E" w14:textId="77777777" w:rsidR="00603ADE" w:rsidRPr="006C520E" w:rsidRDefault="00603ADE" w:rsidP="009A58A3">
            <w:pPr>
              <w:jc w:val="left"/>
              <w:rPr>
                <w:rFonts w:eastAsia="Calibri" w:cs="Times New Roman"/>
                <w:szCs w:val="24"/>
              </w:rPr>
            </w:pPr>
            <m:oMathPara>
              <m:oMathParaPr>
                <m:jc m:val="left"/>
              </m:oMathParaPr>
              <m:oMath>
                <m:r>
                  <w:rPr>
                    <w:rFonts w:ascii="Cambria Math" w:hAnsi="Cambria Math"/>
                  </w:rPr>
                  <m:t>p</m:t>
                </m:r>
              </m:oMath>
            </m:oMathPara>
          </w:p>
        </w:tc>
        <w:tc>
          <w:tcPr>
            <w:tcW w:w="1342" w:type="pct"/>
            <w:gridSpan w:val="2"/>
            <w:vAlign w:val="center"/>
          </w:tcPr>
          <w:p w14:paraId="62F07DD5" w14:textId="77777777" w:rsidR="00603ADE" w:rsidRPr="006C520E" w:rsidRDefault="00603ADE" w:rsidP="009A58A3">
            <w:pPr>
              <w:rPr>
                <w:rFonts w:cs="Times New Roman"/>
                <w:szCs w:val="24"/>
              </w:rPr>
            </w:pPr>
            <w:r w:rsidRPr="006C520E">
              <w:rPr>
                <w:rFonts w:cs="Times New Roman"/>
                <w:szCs w:val="24"/>
              </w:rPr>
              <w:t>0.0498 (</w:t>
            </w:r>
            <w:proofErr w:type="gramStart"/>
            <w:r w:rsidRPr="006C520E">
              <w:rPr>
                <w:rFonts w:cs="Times New Roman"/>
                <w:szCs w:val="24"/>
              </w:rPr>
              <w:t>0.016)</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vAlign w:val="center"/>
          </w:tcPr>
          <w:p w14:paraId="3F184FB6" w14:textId="77777777" w:rsidR="00603ADE" w:rsidRPr="006C520E" w:rsidRDefault="00603ADE" w:rsidP="009A58A3">
            <w:pPr>
              <w:rPr>
                <w:rFonts w:cs="Times New Roman"/>
                <w:szCs w:val="24"/>
              </w:rPr>
            </w:pPr>
            <w:r w:rsidRPr="006C520E">
              <w:rPr>
                <w:rFonts w:cs="Times New Roman"/>
                <w:szCs w:val="24"/>
              </w:rPr>
              <w:t>0.0589 (</w:t>
            </w:r>
            <w:proofErr w:type="gramStart"/>
            <w:r w:rsidRPr="006C520E">
              <w:rPr>
                <w:rFonts w:cs="Times New Roman"/>
                <w:szCs w:val="24"/>
              </w:rPr>
              <w:t>0.027)</w:t>
            </w:r>
            <w:r w:rsidRPr="006C520E">
              <w:rPr>
                <w:rFonts w:cs="Times New Roman"/>
                <w:szCs w:val="24"/>
                <w:vertAlign w:val="superscript"/>
              </w:rPr>
              <w:t>*</w:t>
            </w:r>
            <w:proofErr w:type="gramEnd"/>
            <w:r w:rsidRPr="006C520E">
              <w:rPr>
                <w:rFonts w:cs="Times New Roman"/>
                <w:szCs w:val="24"/>
                <w:vertAlign w:val="superscript"/>
              </w:rPr>
              <w:t>*</w:t>
            </w:r>
          </w:p>
        </w:tc>
        <w:tc>
          <w:tcPr>
            <w:tcW w:w="1193" w:type="pct"/>
            <w:gridSpan w:val="2"/>
            <w:vAlign w:val="center"/>
          </w:tcPr>
          <w:p w14:paraId="22B6D236" w14:textId="77777777" w:rsidR="00603ADE" w:rsidRPr="006C520E" w:rsidRDefault="00603ADE" w:rsidP="009A58A3">
            <w:pPr>
              <w:rPr>
                <w:rFonts w:cs="Times New Roman"/>
                <w:szCs w:val="24"/>
              </w:rPr>
            </w:pPr>
            <w:r w:rsidRPr="006C520E">
              <w:rPr>
                <w:rFonts w:cs="Times New Roman"/>
                <w:szCs w:val="24"/>
              </w:rPr>
              <w:t>-0.0295 (</w:t>
            </w:r>
            <w:proofErr w:type="gramStart"/>
            <w:r w:rsidRPr="006C520E">
              <w:rPr>
                <w:rFonts w:cs="Times New Roman"/>
                <w:szCs w:val="24"/>
              </w:rPr>
              <w:t>0.014)</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7E1B0468" w14:textId="77777777" w:rsidTr="009A58A3">
        <w:tc>
          <w:tcPr>
            <w:tcW w:w="1057" w:type="pct"/>
            <w:tcBorders>
              <w:bottom w:val="single" w:sz="4" w:space="0" w:color="auto"/>
            </w:tcBorders>
            <w:vAlign w:val="center"/>
          </w:tcPr>
          <w:p w14:paraId="7029ED54" w14:textId="77777777" w:rsidR="00603ADE" w:rsidRPr="006C520E" w:rsidRDefault="00603ADE" w:rsidP="009A58A3">
            <w:pPr>
              <w:jc w:val="left"/>
              <w:rPr>
                <w:rFonts w:eastAsia="Calibri" w:cs="Times New Roman"/>
              </w:rPr>
            </w:pPr>
            <w:r w:rsidRPr="006C520E">
              <w:rPr>
                <w:rFonts w:eastAsia="Calibri" w:cs="Times New Roman"/>
              </w:rPr>
              <w:t>Constant</w:t>
            </w:r>
          </w:p>
        </w:tc>
        <w:tc>
          <w:tcPr>
            <w:tcW w:w="1342" w:type="pct"/>
            <w:gridSpan w:val="2"/>
            <w:tcBorders>
              <w:bottom w:val="single" w:sz="4" w:space="0" w:color="auto"/>
            </w:tcBorders>
            <w:vAlign w:val="center"/>
          </w:tcPr>
          <w:p w14:paraId="1382A05C" w14:textId="77777777" w:rsidR="00603ADE" w:rsidRPr="006C520E" w:rsidRDefault="00603ADE" w:rsidP="009A58A3">
            <w:pPr>
              <w:rPr>
                <w:rFonts w:cs="Times New Roman"/>
                <w:szCs w:val="24"/>
              </w:rPr>
            </w:pPr>
            <w:r w:rsidRPr="006C520E">
              <w:rPr>
                <w:rFonts w:cs="Times New Roman"/>
                <w:szCs w:val="24"/>
              </w:rPr>
              <w:t>31.7419 (</w:t>
            </w:r>
            <w:proofErr w:type="gramStart"/>
            <w:r w:rsidRPr="006C520E">
              <w:rPr>
                <w:rFonts w:cs="Times New Roman"/>
                <w:szCs w:val="24"/>
              </w:rPr>
              <w:t>1.161)</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tcBorders>
              <w:bottom w:val="single" w:sz="4" w:space="0" w:color="auto"/>
            </w:tcBorders>
            <w:vAlign w:val="center"/>
          </w:tcPr>
          <w:p w14:paraId="154EB22E" w14:textId="77777777" w:rsidR="00603ADE" w:rsidRPr="006C520E" w:rsidRDefault="00603ADE" w:rsidP="009A58A3">
            <w:pPr>
              <w:rPr>
                <w:rFonts w:cs="Times New Roman"/>
                <w:szCs w:val="24"/>
              </w:rPr>
            </w:pPr>
            <w:r w:rsidRPr="006C520E">
              <w:rPr>
                <w:rFonts w:cs="Times New Roman"/>
                <w:szCs w:val="24"/>
              </w:rPr>
              <w:t>24.5179 (</w:t>
            </w:r>
            <w:proofErr w:type="gramStart"/>
            <w:r w:rsidRPr="006C520E">
              <w:rPr>
                <w:rFonts w:cs="Times New Roman"/>
                <w:szCs w:val="24"/>
              </w:rPr>
              <w:t>0.961)</w:t>
            </w:r>
            <w:r w:rsidRPr="006C520E">
              <w:rPr>
                <w:rFonts w:cs="Times New Roman"/>
                <w:szCs w:val="24"/>
                <w:vertAlign w:val="superscript"/>
              </w:rPr>
              <w:t>*</w:t>
            </w:r>
            <w:proofErr w:type="gramEnd"/>
            <w:r w:rsidRPr="006C520E">
              <w:rPr>
                <w:rFonts w:cs="Times New Roman"/>
                <w:szCs w:val="24"/>
                <w:vertAlign w:val="superscript"/>
              </w:rPr>
              <w:t>**</w:t>
            </w:r>
          </w:p>
        </w:tc>
        <w:tc>
          <w:tcPr>
            <w:tcW w:w="1193" w:type="pct"/>
            <w:gridSpan w:val="2"/>
            <w:tcBorders>
              <w:bottom w:val="single" w:sz="4" w:space="0" w:color="auto"/>
            </w:tcBorders>
            <w:vAlign w:val="center"/>
          </w:tcPr>
          <w:p w14:paraId="07165080" w14:textId="77777777" w:rsidR="00603ADE" w:rsidRPr="006C520E" w:rsidRDefault="00603ADE" w:rsidP="009A58A3">
            <w:pPr>
              <w:rPr>
                <w:rFonts w:cs="Times New Roman"/>
                <w:szCs w:val="24"/>
              </w:rPr>
            </w:pPr>
            <w:r w:rsidRPr="006C520E">
              <w:rPr>
                <w:rFonts w:cs="Times New Roman"/>
                <w:szCs w:val="24"/>
              </w:rPr>
              <w:t>31.1586 (</w:t>
            </w:r>
            <w:proofErr w:type="gramStart"/>
            <w:r w:rsidRPr="006C520E">
              <w:rPr>
                <w:rFonts w:cs="Times New Roman"/>
                <w:szCs w:val="24"/>
              </w:rPr>
              <w:t>1.386)</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58784653" w14:textId="77777777" w:rsidTr="009A58A3">
        <w:tc>
          <w:tcPr>
            <w:tcW w:w="1297" w:type="pct"/>
            <w:gridSpan w:val="2"/>
            <w:tcBorders>
              <w:top w:val="single" w:sz="4" w:space="0" w:color="auto"/>
              <w:bottom w:val="single" w:sz="4" w:space="0" w:color="auto"/>
            </w:tcBorders>
            <w:vAlign w:val="center"/>
          </w:tcPr>
          <w:p w14:paraId="6D84F5AD" w14:textId="77777777" w:rsidR="00603ADE" w:rsidRPr="006C520E" w:rsidRDefault="00603ADE" w:rsidP="009A58A3">
            <w:pPr>
              <w:jc w:val="left"/>
              <w:rPr>
                <w:rFonts w:eastAsia="Calibri" w:cs="Times New Roman"/>
              </w:rPr>
            </w:pPr>
            <w:r w:rsidRPr="006C520E">
              <w:rPr>
                <w:rFonts w:eastAsia="Calibri" w:cs="Times New Roman"/>
              </w:rPr>
              <w:t>Panel B: Diagnostics</w:t>
            </w:r>
          </w:p>
        </w:tc>
        <w:tc>
          <w:tcPr>
            <w:tcW w:w="1102" w:type="pct"/>
            <w:tcBorders>
              <w:top w:val="single" w:sz="4" w:space="0" w:color="auto"/>
              <w:bottom w:val="single" w:sz="4" w:space="0" w:color="auto"/>
            </w:tcBorders>
            <w:vAlign w:val="center"/>
          </w:tcPr>
          <w:p w14:paraId="20D1DD45" w14:textId="77777777" w:rsidR="00603ADE" w:rsidRPr="006C520E" w:rsidRDefault="00603ADE" w:rsidP="009A58A3">
            <w:pPr>
              <w:rPr>
                <w:rFonts w:cs="Times New Roman"/>
                <w:szCs w:val="24"/>
              </w:rPr>
            </w:pPr>
          </w:p>
        </w:tc>
        <w:tc>
          <w:tcPr>
            <w:tcW w:w="1408" w:type="pct"/>
            <w:gridSpan w:val="2"/>
            <w:tcBorders>
              <w:top w:val="single" w:sz="4" w:space="0" w:color="auto"/>
              <w:bottom w:val="single" w:sz="4" w:space="0" w:color="auto"/>
            </w:tcBorders>
            <w:vAlign w:val="center"/>
          </w:tcPr>
          <w:p w14:paraId="2E225771" w14:textId="77777777" w:rsidR="00603ADE" w:rsidRPr="006C520E" w:rsidRDefault="00603ADE" w:rsidP="009A58A3">
            <w:pPr>
              <w:rPr>
                <w:rFonts w:cs="Times New Roman"/>
                <w:szCs w:val="24"/>
              </w:rPr>
            </w:pPr>
          </w:p>
        </w:tc>
        <w:tc>
          <w:tcPr>
            <w:tcW w:w="1193" w:type="pct"/>
            <w:gridSpan w:val="2"/>
            <w:tcBorders>
              <w:top w:val="single" w:sz="4" w:space="0" w:color="auto"/>
              <w:bottom w:val="single" w:sz="4" w:space="0" w:color="auto"/>
            </w:tcBorders>
            <w:vAlign w:val="center"/>
          </w:tcPr>
          <w:p w14:paraId="76814671" w14:textId="77777777" w:rsidR="00603ADE" w:rsidRPr="006C520E" w:rsidRDefault="00603ADE" w:rsidP="009A58A3">
            <w:pPr>
              <w:rPr>
                <w:rFonts w:cs="Times New Roman"/>
                <w:szCs w:val="24"/>
              </w:rPr>
            </w:pPr>
          </w:p>
        </w:tc>
      </w:tr>
      <w:tr w:rsidR="00603ADE" w:rsidRPr="006C520E" w14:paraId="08D8E455" w14:textId="77777777" w:rsidTr="009A58A3">
        <w:tc>
          <w:tcPr>
            <w:tcW w:w="1057" w:type="pct"/>
            <w:tcBorders>
              <w:top w:val="single" w:sz="4" w:space="0" w:color="auto"/>
              <w:bottom w:val="nil"/>
            </w:tcBorders>
          </w:tcPr>
          <w:p w14:paraId="192EBFF0" w14:textId="77777777" w:rsidR="00603ADE" w:rsidRPr="006C520E" w:rsidRDefault="00603ADE" w:rsidP="009A58A3">
            <w:pPr>
              <w:rPr>
                <w:rFonts w:cs="Times New Roman"/>
                <w:szCs w:val="24"/>
              </w:rPr>
            </w:pPr>
            <m:oMathPara>
              <m:oMathParaPr>
                <m:jc m:val="left"/>
              </m:oMathParaPr>
              <m:oMath>
                <m:r>
                  <w:rPr>
                    <w:rFonts w:ascii="Cambria Math" w:hAnsi="Cambria Math"/>
                    <w:szCs w:val="24"/>
                  </w:rPr>
                  <m:t>φ</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t-1</m:t>
                    </m:r>
                  </m:sub>
                </m:sSub>
              </m:oMath>
            </m:oMathPara>
          </w:p>
        </w:tc>
        <w:tc>
          <w:tcPr>
            <w:tcW w:w="1342" w:type="pct"/>
            <w:gridSpan w:val="2"/>
            <w:tcBorders>
              <w:top w:val="single" w:sz="4" w:space="0" w:color="auto"/>
              <w:bottom w:val="nil"/>
            </w:tcBorders>
            <w:vAlign w:val="center"/>
          </w:tcPr>
          <w:p w14:paraId="31860F3D" w14:textId="77777777" w:rsidR="00603ADE" w:rsidRPr="006C520E" w:rsidRDefault="00603ADE" w:rsidP="009A58A3">
            <w:pPr>
              <w:rPr>
                <w:rFonts w:cs="Times New Roman"/>
                <w:szCs w:val="24"/>
                <w:vertAlign w:val="superscript"/>
              </w:rPr>
            </w:pPr>
            <w:r w:rsidRPr="006C520E">
              <w:rPr>
                <w:rFonts w:cs="Times New Roman"/>
                <w:szCs w:val="24"/>
              </w:rPr>
              <w:t>-0.0112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408" w:type="pct"/>
            <w:gridSpan w:val="2"/>
            <w:tcBorders>
              <w:top w:val="single" w:sz="4" w:space="0" w:color="auto"/>
              <w:bottom w:val="nil"/>
            </w:tcBorders>
            <w:vAlign w:val="center"/>
          </w:tcPr>
          <w:p w14:paraId="7F0361B6" w14:textId="77777777" w:rsidR="00603ADE" w:rsidRPr="006C520E" w:rsidRDefault="00603ADE" w:rsidP="009A58A3">
            <w:pPr>
              <w:rPr>
                <w:rFonts w:cs="Times New Roman"/>
                <w:szCs w:val="24"/>
                <w:vertAlign w:val="superscript"/>
              </w:rPr>
            </w:pPr>
            <w:r w:rsidRPr="006C520E">
              <w:rPr>
                <w:rFonts w:cs="Times New Roman"/>
                <w:szCs w:val="24"/>
              </w:rPr>
              <w:t>-0.0076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93" w:type="pct"/>
            <w:gridSpan w:val="2"/>
            <w:tcBorders>
              <w:top w:val="single" w:sz="4" w:space="0" w:color="auto"/>
              <w:bottom w:val="nil"/>
            </w:tcBorders>
            <w:vAlign w:val="center"/>
          </w:tcPr>
          <w:p w14:paraId="3FC8790E" w14:textId="77777777" w:rsidR="00603ADE" w:rsidRPr="006C520E" w:rsidRDefault="00603ADE" w:rsidP="009A58A3">
            <w:pPr>
              <w:rPr>
                <w:rFonts w:cs="Times New Roman"/>
                <w:szCs w:val="24"/>
                <w:vertAlign w:val="superscript"/>
              </w:rPr>
            </w:pPr>
            <w:r w:rsidRPr="006C520E">
              <w:rPr>
                <w:rFonts w:cs="Times New Roman"/>
                <w:szCs w:val="24"/>
              </w:rPr>
              <w:t>-0.0203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15662BE9" w14:textId="77777777" w:rsidTr="009A58A3">
        <w:tc>
          <w:tcPr>
            <w:tcW w:w="1057" w:type="pct"/>
            <w:tcBorders>
              <w:top w:val="nil"/>
            </w:tcBorders>
          </w:tcPr>
          <w:p w14:paraId="03BC46FB" w14:textId="77777777" w:rsidR="00603ADE" w:rsidRPr="006C520E" w:rsidRDefault="00000000" w:rsidP="009A58A3">
            <w:pPr>
              <w:jc w:val="left"/>
              <w:rPr>
                <w:rFonts w:eastAsia="Calibri" w:cs="Times New Roman"/>
              </w:rPr>
            </w:pPr>
            <m:oMathPara>
              <m:oMathParaPr>
                <m:jc m:val="left"/>
              </m:oMathParaPr>
              <m:oMath>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SC</m:t>
                    </m:r>
                  </m:sub>
                  <m:sup>
                    <m:r>
                      <w:rPr>
                        <w:rFonts w:ascii="Cambria Math" w:hAnsi="Cambria Math"/>
                        <w:szCs w:val="24"/>
                      </w:rPr>
                      <m:t>2</m:t>
                    </m:r>
                  </m:sup>
                </m:sSubSup>
              </m:oMath>
            </m:oMathPara>
          </w:p>
        </w:tc>
        <w:tc>
          <w:tcPr>
            <w:tcW w:w="1342" w:type="pct"/>
            <w:gridSpan w:val="2"/>
            <w:tcBorders>
              <w:top w:val="nil"/>
            </w:tcBorders>
          </w:tcPr>
          <w:p w14:paraId="68FBC434" w14:textId="77777777" w:rsidR="00603ADE" w:rsidRPr="006C520E" w:rsidRDefault="00603ADE" w:rsidP="009A58A3">
            <w:pPr>
              <w:rPr>
                <w:rFonts w:cs="Times New Roman"/>
                <w:szCs w:val="24"/>
              </w:rPr>
            </w:pPr>
            <w:r w:rsidRPr="006C520E">
              <w:rPr>
                <w:rFonts w:cs="Times New Roman"/>
                <w:szCs w:val="24"/>
              </w:rPr>
              <w:t>4.357 [0.113]</w:t>
            </w:r>
          </w:p>
        </w:tc>
        <w:tc>
          <w:tcPr>
            <w:tcW w:w="1408" w:type="pct"/>
            <w:gridSpan w:val="2"/>
            <w:tcBorders>
              <w:top w:val="nil"/>
            </w:tcBorders>
          </w:tcPr>
          <w:p w14:paraId="1DA2E180" w14:textId="77777777" w:rsidR="00603ADE" w:rsidRPr="006C520E" w:rsidRDefault="00603ADE" w:rsidP="009A58A3">
            <w:pPr>
              <w:rPr>
                <w:rFonts w:cs="Times New Roman"/>
                <w:szCs w:val="24"/>
              </w:rPr>
            </w:pPr>
            <w:r w:rsidRPr="006C520E">
              <w:rPr>
                <w:rFonts w:cs="Times New Roman"/>
                <w:szCs w:val="24"/>
              </w:rPr>
              <w:t>3.675 [0.159]</w:t>
            </w:r>
          </w:p>
        </w:tc>
        <w:tc>
          <w:tcPr>
            <w:tcW w:w="1193" w:type="pct"/>
            <w:gridSpan w:val="2"/>
            <w:tcBorders>
              <w:top w:val="nil"/>
            </w:tcBorders>
          </w:tcPr>
          <w:p w14:paraId="0CB1A07A" w14:textId="77777777" w:rsidR="00603ADE" w:rsidRPr="006C520E" w:rsidRDefault="00603ADE" w:rsidP="009A58A3">
            <w:pPr>
              <w:rPr>
                <w:rFonts w:cs="Times New Roman"/>
                <w:szCs w:val="24"/>
              </w:rPr>
            </w:pPr>
            <w:r w:rsidRPr="006C520E">
              <w:rPr>
                <w:rFonts w:cs="Times New Roman"/>
                <w:szCs w:val="24"/>
              </w:rPr>
              <w:t>4.182 [0.124]</w:t>
            </w:r>
          </w:p>
        </w:tc>
      </w:tr>
      <w:tr w:rsidR="00603ADE" w:rsidRPr="006C520E" w14:paraId="27D7B1C0" w14:textId="77777777" w:rsidTr="009A58A3">
        <w:tc>
          <w:tcPr>
            <w:tcW w:w="1057" w:type="pct"/>
          </w:tcPr>
          <w:p w14:paraId="0BAF36FB" w14:textId="77777777" w:rsidR="00603ADE" w:rsidRPr="006C520E" w:rsidRDefault="00000000" w:rsidP="009A58A3">
            <w:pPr>
              <w:jc w:val="left"/>
              <w:rPr>
                <w:rFonts w:eastAsia="Calibri" w:cs="Times New Roman"/>
              </w:rPr>
            </w:pPr>
            <m:oMathPara>
              <m:oMathParaPr>
                <m:jc m:val="left"/>
              </m:oMathParaPr>
              <m:oMath>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FF</m:t>
                    </m:r>
                  </m:sub>
                  <m:sup>
                    <m:r>
                      <w:rPr>
                        <w:rFonts w:ascii="Cambria Math" w:hAnsi="Cambria Math"/>
                        <w:szCs w:val="24"/>
                      </w:rPr>
                      <m:t>2</m:t>
                    </m:r>
                  </m:sup>
                </m:sSubSup>
              </m:oMath>
            </m:oMathPara>
          </w:p>
        </w:tc>
        <w:tc>
          <w:tcPr>
            <w:tcW w:w="1342" w:type="pct"/>
            <w:gridSpan w:val="2"/>
          </w:tcPr>
          <w:p w14:paraId="5BDCEA89" w14:textId="77777777" w:rsidR="00603ADE" w:rsidRPr="006C520E" w:rsidRDefault="00603ADE" w:rsidP="009A58A3">
            <w:pPr>
              <w:rPr>
                <w:rFonts w:cs="Times New Roman"/>
                <w:szCs w:val="24"/>
              </w:rPr>
            </w:pPr>
            <w:r w:rsidRPr="006C520E">
              <w:rPr>
                <w:szCs w:val="24"/>
              </w:rPr>
              <w:t>0.003 [0.959]</w:t>
            </w:r>
          </w:p>
        </w:tc>
        <w:tc>
          <w:tcPr>
            <w:tcW w:w="1408" w:type="pct"/>
            <w:gridSpan w:val="2"/>
          </w:tcPr>
          <w:p w14:paraId="451E822E" w14:textId="77777777" w:rsidR="00603ADE" w:rsidRPr="006C520E" w:rsidRDefault="00603ADE" w:rsidP="009A58A3">
            <w:pPr>
              <w:rPr>
                <w:rFonts w:cs="Times New Roman"/>
                <w:szCs w:val="24"/>
              </w:rPr>
            </w:pPr>
            <w:r w:rsidRPr="006C520E">
              <w:rPr>
                <w:szCs w:val="24"/>
              </w:rPr>
              <w:t>2.338 [0.129]</w:t>
            </w:r>
          </w:p>
        </w:tc>
        <w:tc>
          <w:tcPr>
            <w:tcW w:w="1193" w:type="pct"/>
            <w:gridSpan w:val="2"/>
          </w:tcPr>
          <w:p w14:paraId="3E74F494" w14:textId="77777777" w:rsidR="00603ADE" w:rsidRPr="006C520E" w:rsidRDefault="00603ADE" w:rsidP="009A58A3">
            <w:pPr>
              <w:rPr>
                <w:rFonts w:cs="Times New Roman"/>
                <w:szCs w:val="24"/>
              </w:rPr>
            </w:pPr>
            <w:r w:rsidRPr="006C520E">
              <w:rPr>
                <w:rFonts w:cs="Times New Roman"/>
                <w:szCs w:val="24"/>
              </w:rPr>
              <w:t>0.171 [0.679]</w:t>
            </w:r>
          </w:p>
        </w:tc>
      </w:tr>
      <w:tr w:rsidR="00603ADE" w:rsidRPr="006C520E" w14:paraId="512715D4" w14:textId="77777777" w:rsidTr="009A58A3">
        <w:tc>
          <w:tcPr>
            <w:tcW w:w="1057" w:type="pct"/>
          </w:tcPr>
          <w:p w14:paraId="18CAE061" w14:textId="77777777" w:rsidR="00603ADE" w:rsidRPr="006C520E" w:rsidRDefault="00000000" w:rsidP="009A58A3">
            <w:pPr>
              <w:jc w:val="left"/>
              <w:rPr>
                <w:rFonts w:eastAsia="Calibri" w:cs="Times New Roman"/>
              </w:rPr>
            </w:pPr>
            <m:oMathPara>
              <m:oMathParaPr>
                <m:jc m:val="left"/>
              </m:oMathParaPr>
              <m:oMath>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JB</m:t>
                    </m:r>
                  </m:sub>
                  <m:sup>
                    <m:r>
                      <w:rPr>
                        <w:rFonts w:ascii="Cambria Math" w:hAnsi="Cambria Math"/>
                        <w:szCs w:val="24"/>
                      </w:rPr>
                      <m:t>2</m:t>
                    </m:r>
                  </m:sup>
                </m:sSubSup>
              </m:oMath>
            </m:oMathPara>
          </w:p>
        </w:tc>
        <w:tc>
          <w:tcPr>
            <w:tcW w:w="1342" w:type="pct"/>
            <w:gridSpan w:val="2"/>
          </w:tcPr>
          <w:p w14:paraId="3A0EA39C" w14:textId="77777777" w:rsidR="00603ADE" w:rsidRPr="006C520E" w:rsidRDefault="00603ADE" w:rsidP="009A58A3">
            <w:pPr>
              <w:rPr>
                <w:rFonts w:cs="Times New Roman"/>
                <w:szCs w:val="24"/>
              </w:rPr>
            </w:pPr>
            <w:r w:rsidRPr="006C520E">
              <w:rPr>
                <w:szCs w:val="24"/>
              </w:rPr>
              <w:t>6.411 [0.041]</w:t>
            </w:r>
          </w:p>
        </w:tc>
        <w:tc>
          <w:tcPr>
            <w:tcW w:w="1408" w:type="pct"/>
            <w:gridSpan w:val="2"/>
          </w:tcPr>
          <w:p w14:paraId="5EA75E41" w14:textId="77777777" w:rsidR="00603ADE" w:rsidRPr="006C520E" w:rsidRDefault="00603ADE" w:rsidP="009A58A3">
            <w:pPr>
              <w:rPr>
                <w:rFonts w:cs="Times New Roman"/>
                <w:szCs w:val="24"/>
              </w:rPr>
            </w:pPr>
            <w:r w:rsidRPr="006C520E">
              <w:rPr>
                <w:szCs w:val="24"/>
              </w:rPr>
              <w:t>8.269 [0.016]</w:t>
            </w:r>
          </w:p>
        </w:tc>
        <w:tc>
          <w:tcPr>
            <w:tcW w:w="1193" w:type="pct"/>
            <w:gridSpan w:val="2"/>
          </w:tcPr>
          <w:p w14:paraId="55D7C17F" w14:textId="77777777" w:rsidR="00603ADE" w:rsidRPr="006C520E" w:rsidRDefault="00603ADE" w:rsidP="009A58A3">
            <w:pPr>
              <w:rPr>
                <w:rFonts w:cs="Times New Roman"/>
                <w:szCs w:val="24"/>
              </w:rPr>
            </w:pPr>
            <w:r w:rsidRPr="006C520E">
              <w:rPr>
                <w:rFonts w:cs="Times New Roman"/>
                <w:szCs w:val="24"/>
              </w:rPr>
              <w:t>15.926 [0.001]</w:t>
            </w:r>
          </w:p>
        </w:tc>
      </w:tr>
      <w:tr w:rsidR="00603ADE" w:rsidRPr="006C520E" w14:paraId="2B7750EA" w14:textId="77777777" w:rsidTr="009A58A3">
        <w:tc>
          <w:tcPr>
            <w:tcW w:w="1057" w:type="pct"/>
          </w:tcPr>
          <w:p w14:paraId="637D470C" w14:textId="77777777" w:rsidR="00603ADE" w:rsidRPr="006C520E" w:rsidRDefault="00603ADE" w:rsidP="009A58A3">
            <w:pPr>
              <w:jc w:val="left"/>
              <w:rPr>
                <w:rFonts w:eastAsiaTheme="minorEastAsia"/>
                <w:szCs w:val="24"/>
              </w:rPr>
            </w:pPr>
            <m:oMathPara>
              <m:oMathParaPr>
                <m:jc m:val="left"/>
              </m:oMathParaPr>
              <m:oMath>
                <m:r>
                  <w:rPr>
                    <w:rFonts w:ascii="Cambria Math" w:hAnsi="Cambria Math"/>
                    <w:szCs w:val="24"/>
                  </w:rPr>
                  <m:t xml:space="preserve">Ajd. </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m:oMathPara>
          </w:p>
        </w:tc>
        <w:tc>
          <w:tcPr>
            <w:tcW w:w="1342" w:type="pct"/>
            <w:gridSpan w:val="2"/>
          </w:tcPr>
          <w:p w14:paraId="581B79D0" w14:textId="77777777" w:rsidR="00603ADE" w:rsidRPr="006C520E" w:rsidRDefault="00603ADE" w:rsidP="009A58A3">
            <w:pPr>
              <w:rPr>
                <w:szCs w:val="24"/>
              </w:rPr>
            </w:pPr>
            <w:r w:rsidRPr="006C520E">
              <w:rPr>
                <w:szCs w:val="24"/>
              </w:rPr>
              <w:t>0.887</w:t>
            </w:r>
          </w:p>
        </w:tc>
        <w:tc>
          <w:tcPr>
            <w:tcW w:w="1408" w:type="pct"/>
            <w:gridSpan w:val="2"/>
          </w:tcPr>
          <w:p w14:paraId="311D1454" w14:textId="77777777" w:rsidR="00603ADE" w:rsidRPr="006C520E" w:rsidRDefault="00603ADE" w:rsidP="009A58A3">
            <w:pPr>
              <w:rPr>
                <w:szCs w:val="24"/>
              </w:rPr>
            </w:pPr>
            <w:r w:rsidRPr="006C520E">
              <w:rPr>
                <w:szCs w:val="24"/>
              </w:rPr>
              <w:t>0.932</w:t>
            </w:r>
          </w:p>
        </w:tc>
        <w:tc>
          <w:tcPr>
            <w:tcW w:w="1193" w:type="pct"/>
            <w:gridSpan w:val="2"/>
          </w:tcPr>
          <w:p w14:paraId="43A1A658" w14:textId="77777777" w:rsidR="00603ADE" w:rsidRPr="006C520E" w:rsidRDefault="00603ADE" w:rsidP="009A58A3">
            <w:pPr>
              <w:rPr>
                <w:rFonts w:cs="Times New Roman"/>
                <w:szCs w:val="24"/>
              </w:rPr>
            </w:pPr>
            <w:r w:rsidRPr="006C520E">
              <w:rPr>
                <w:rFonts w:cs="Times New Roman"/>
                <w:szCs w:val="24"/>
              </w:rPr>
              <w:t>0.604</w:t>
            </w:r>
          </w:p>
        </w:tc>
      </w:tr>
      <w:tr w:rsidR="00603ADE" w:rsidRPr="006C520E" w14:paraId="7846383F" w14:textId="77777777" w:rsidTr="009A58A3">
        <w:tc>
          <w:tcPr>
            <w:tcW w:w="1057" w:type="pct"/>
          </w:tcPr>
          <w:p w14:paraId="1B67FDC6" w14:textId="77777777" w:rsidR="00603ADE" w:rsidRPr="006C520E" w:rsidRDefault="00603ADE" w:rsidP="009A58A3">
            <w:pPr>
              <w:jc w:val="left"/>
              <w:rPr>
                <w:rFonts w:eastAsia="Calibri" w:cs="Times New Roman"/>
                <w:szCs w:val="24"/>
              </w:rPr>
            </w:pPr>
            <w:r w:rsidRPr="006C520E">
              <w:rPr>
                <w:rFonts w:eastAsia="Calibri" w:cs="Times New Roman"/>
                <w:szCs w:val="24"/>
              </w:rPr>
              <w:t>CUSUM</w:t>
            </w:r>
          </w:p>
        </w:tc>
        <w:tc>
          <w:tcPr>
            <w:tcW w:w="1342" w:type="pct"/>
            <w:gridSpan w:val="2"/>
          </w:tcPr>
          <w:p w14:paraId="7F7F4375" w14:textId="77777777" w:rsidR="00603ADE" w:rsidRPr="006C520E" w:rsidRDefault="00603ADE" w:rsidP="009A58A3">
            <w:pPr>
              <w:rPr>
                <w:szCs w:val="24"/>
              </w:rPr>
            </w:pPr>
            <w:r w:rsidRPr="006C520E">
              <w:rPr>
                <w:szCs w:val="24"/>
              </w:rPr>
              <w:t>Stable</w:t>
            </w:r>
          </w:p>
        </w:tc>
        <w:tc>
          <w:tcPr>
            <w:tcW w:w="1408" w:type="pct"/>
            <w:gridSpan w:val="2"/>
          </w:tcPr>
          <w:p w14:paraId="504BD7FD" w14:textId="77777777" w:rsidR="00603ADE" w:rsidRPr="006C520E" w:rsidRDefault="00603ADE" w:rsidP="009A58A3">
            <w:pPr>
              <w:rPr>
                <w:szCs w:val="24"/>
              </w:rPr>
            </w:pPr>
            <w:r w:rsidRPr="006C520E">
              <w:rPr>
                <w:szCs w:val="24"/>
              </w:rPr>
              <w:t>Stable</w:t>
            </w:r>
          </w:p>
        </w:tc>
        <w:tc>
          <w:tcPr>
            <w:tcW w:w="1193" w:type="pct"/>
            <w:gridSpan w:val="2"/>
          </w:tcPr>
          <w:p w14:paraId="08A9E1C0" w14:textId="77777777" w:rsidR="00603ADE" w:rsidRPr="006C520E" w:rsidRDefault="00603ADE" w:rsidP="009A58A3">
            <w:pPr>
              <w:rPr>
                <w:rFonts w:cs="Times New Roman"/>
                <w:szCs w:val="24"/>
              </w:rPr>
            </w:pPr>
            <w:r w:rsidRPr="006C520E">
              <w:rPr>
                <w:szCs w:val="24"/>
              </w:rPr>
              <w:t>Stable</w:t>
            </w:r>
          </w:p>
        </w:tc>
      </w:tr>
      <w:tr w:rsidR="00603ADE" w:rsidRPr="006C520E" w14:paraId="01B01F61" w14:textId="77777777" w:rsidTr="009A58A3">
        <w:tc>
          <w:tcPr>
            <w:tcW w:w="1057" w:type="pct"/>
          </w:tcPr>
          <w:p w14:paraId="38E8BD40" w14:textId="77777777" w:rsidR="00603ADE" w:rsidRPr="006C520E" w:rsidRDefault="00603ADE" w:rsidP="009A58A3">
            <w:pPr>
              <w:jc w:val="left"/>
              <w:rPr>
                <w:rFonts w:eastAsia="Calibri" w:cs="Times New Roman"/>
                <w:szCs w:val="24"/>
              </w:rPr>
            </w:pPr>
            <w:r w:rsidRPr="006C520E">
              <w:rPr>
                <w:rFonts w:eastAsia="Calibri" w:cs="Times New Roman"/>
                <w:szCs w:val="24"/>
              </w:rPr>
              <w:t>CUSUMSQ</w:t>
            </w:r>
          </w:p>
        </w:tc>
        <w:tc>
          <w:tcPr>
            <w:tcW w:w="1342" w:type="pct"/>
            <w:gridSpan w:val="2"/>
          </w:tcPr>
          <w:p w14:paraId="53B11D89" w14:textId="77777777" w:rsidR="00603ADE" w:rsidRPr="006C520E" w:rsidRDefault="00603ADE" w:rsidP="009A58A3">
            <w:pPr>
              <w:rPr>
                <w:szCs w:val="24"/>
              </w:rPr>
            </w:pPr>
            <w:r w:rsidRPr="006C520E">
              <w:rPr>
                <w:szCs w:val="24"/>
              </w:rPr>
              <w:t>Stable</w:t>
            </w:r>
          </w:p>
        </w:tc>
        <w:tc>
          <w:tcPr>
            <w:tcW w:w="1408" w:type="pct"/>
            <w:gridSpan w:val="2"/>
          </w:tcPr>
          <w:p w14:paraId="4CC6F014" w14:textId="77777777" w:rsidR="00603ADE" w:rsidRPr="006C520E" w:rsidRDefault="00603ADE" w:rsidP="009A58A3">
            <w:pPr>
              <w:rPr>
                <w:szCs w:val="24"/>
              </w:rPr>
            </w:pPr>
            <w:r w:rsidRPr="006C520E">
              <w:rPr>
                <w:szCs w:val="24"/>
              </w:rPr>
              <w:t>Stable</w:t>
            </w:r>
          </w:p>
        </w:tc>
        <w:tc>
          <w:tcPr>
            <w:tcW w:w="1193" w:type="pct"/>
            <w:gridSpan w:val="2"/>
          </w:tcPr>
          <w:p w14:paraId="06F50AE8" w14:textId="77777777" w:rsidR="00603ADE" w:rsidRPr="006C520E" w:rsidRDefault="00603ADE" w:rsidP="009A58A3">
            <w:pPr>
              <w:rPr>
                <w:rFonts w:cs="Times New Roman"/>
                <w:szCs w:val="24"/>
              </w:rPr>
            </w:pPr>
            <w:r w:rsidRPr="006C520E">
              <w:rPr>
                <w:szCs w:val="24"/>
              </w:rPr>
              <w:t>Stable</w:t>
            </w:r>
          </w:p>
        </w:tc>
      </w:tr>
    </w:tbl>
    <w:p w14:paraId="5CB08F73" w14:textId="77777777" w:rsidR="00603ADE" w:rsidRPr="006C520E" w:rsidRDefault="00603ADE" w:rsidP="00603ADE">
      <w:pPr>
        <w:autoSpaceDE w:val="0"/>
        <w:autoSpaceDN w:val="0"/>
        <w:adjustRightInd w:val="0"/>
        <w:spacing w:after="0"/>
        <w:rPr>
          <w:rFonts w:cs="Times New Roman"/>
          <w:sz w:val="20"/>
          <w:szCs w:val="24"/>
        </w:rPr>
      </w:pPr>
      <w:r w:rsidRPr="006C520E">
        <w:rPr>
          <w:rFonts w:cs="Times New Roman"/>
          <w:b/>
          <w:bCs/>
          <w:sz w:val="20"/>
          <w:szCs w:val="20"/>
        </w:rPr>
        <w:t>Notes:</w:t>
      </w:r>
      <w:r w:rsidRPr="006C520E">
        <w:rPr>
          <w:rFonts w:cs="Times New Roman"/>
          <w:sz w:val="20"/>
          <w:szCs w:val="20"/>
        </w:rPr>
        <w:t xml:space="preserve"> The specification in Column (I) excludes the interaction term. Column (II) is the specification without the underground economy. For CUSUM and CUSUMSQ, “Stable” imply that the CUSUM and CUSUMSQ statistics are within the 5 percent critical line. All the variables are included in Column (III)’s specification. Asterisks (</w:t>
      </w:r>
      <w:r w:rsidRPr="006C520E">
        <w:rPr>
          <w:rFonts w:cs="Times New Roman"/>
          <w:sz w:val="20"/>
          <w:szCs w:val="20"/>
          <w:vertAlign w:val="superscript"/>
        </w:rPr>
        <w:t>***</w:t>
      </w:r>
      <w:r w:rsidRPr="006C520E">
        <w:rPr>
          <w:rFonts w:cs="Times New Roman"/>
          <w:sz w:val="20"/>
          <w:szCs w:val="20"/>
        </w:rPr>
        <w:t>), (</w:t>
      </w:r>
      <w:r w:rsidRPr="006C520E">
        <w:rPr>
          <w:rFonts w:cs="Times New Roman"/>
          <w:sz w:val="20"/>
          <w:szCs w:val="20"/>
          <w:vertAlign w:val="superscript"/>
        </w:rPr>
        <w:t>**</w:t>
      </w:r>
      <w:r w:rsidRPr="006C520E">
        <w:rPr>
          <w:rFonts w:cs="Times New Roman"/>
          <w:sz w:val="20"/>
          <w:szCs w:val="20"/>
        </w:rPr>
        <w:t>) and (</w:t>
      </w:r>
      <w:r w:rsidRPr="006C520E">
        <w:rPr>
          <w:rFonts w:cs="Times New Roman"/>
          <w:sz w:val="20"/>
          <w:szCs w:val="20"/>
          <w:vertAlign w:val="superscript"/>
        </w:rPr>
        <w:t>*</w:t>
      </w:r>
      <w:r w:rsidRPr="006C520E">
        <w:rPr>
          <w:rFonts w:cs="Times New Roman"/>
          <w:sz w:val="20"/>
          <w:szCs w:val="20"/>
        </w:rPr>
        <w:t xml:space="preserve">) denotes statistical significance at 1%, 5% and 10% levels, respectively. Values in (.) are standard error. </w:t>
      </w:r>
      <w:bookmarkStart w:id="2" w:name="_Hlk158825418"/>
      <w:r w:rsidRPr="006C520E">
        <w:rPr>
          <w:rFonts w:cs="Times New Roman"/>
          <w:sz w:val="20"/>
          <w:szCs w:val="24"/>
        </w:rPr>
        <w:t xml:space="preserve">Values in square parenthesis [.] in panel B are the probability values of the LM test statistics. </w:t>
      </w:r>
      <m:oMath>
        <m:r>
          <w:rPr>
            <w:rFonts w:ascii="Cambria Math" w:hAnsi="Cambria Math"/>
            <w:sz w:val="20"/>
            <w:szCs w:val="20"/>
          </w:rPr>
          <m:t>φ</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oMath>
      <w:r w:rsidRPr="006C520E">
        <w:rPr>
          <w:rFonts w:eastAsiaTheme="minorEastAsia" w:cs="Times New Roman"/>
          <w:sz w:val="20"/>
          <w:szCs w:val="20"/>
        </w:rPr>
        <w:t xml:space="preserve"> is the coefficient of the error term lagged by a period, indicting the speed of adjustment to long-run equilibrium</w:t>
      </w:r>
      <w:r w:rsidRPr="006C520E">
        <w:rPr>
          <w:rFonts w:cs="Times New Roman"/>
          <w:sz w:val="20"/>
          <w:szCs w:val="24"/>
        </w:rPr>
        <w:t xml:space="preserve">. </w:t>
      </w:r>
      <m:oMath>
        <m:sSubSup>
          <m:sSubSupPr>
            <m:ctrlPr>
              <w:rPr>
                <w:rFonts w:ascii="Cambria Math" w:hAnsi="Cambria Math" w:cs="Times New Roman"/>
                <w:i/>
                <w:szCs w:val="24"/>
              </w:rPr>
            </m:ctrlPr>
          </m:sSubSupPr>
          <m:e>
            <m:r>
              <w:rPr>
                <w:rFonts w:ascii="Cambria Math" w:hAnsi="Cambria Math" w:cs="Times New Roman"/>
                <w:sz w:val="20"/>
                <w:szCs w:val="24"/>
              </w:rPr>
              <m:t>χ</m:t>
            </m:r>
          </m:e>
          <m:sub>
            <m:r>
              <w:rPr>
                <w:rFonts w:ascii="Cambria Math" w:hAnsi="Cambria Math" w:cs="Times New Roman"/>
                <w:sz w:val="20"/>
                <w:szCs w:val="24"/>
              </w:rPr>
              <m:t>SC</m:t>
            </m:r>
          </m:sub>
          <m:sup>
            <m:r>
              <w:rPr>
                <w:rFonts w:ascii="Cambria Math" w:hAnsi="Cambria Math" w:cs="Times New Roman"/>
                <w:sz w:val="20"/>
                <w:szCs w:val="24"/>
              </w:rPr>
              <m:t>2</m:t>
            </m:r>
          </m:sup>
        </m:sSubSup>
      </m:oMath>
      <w:r w:rsidRPr="006C520E">
        <w:rPr>
          <w:rFonts w:eastAsia="Times New Roman" w:cs="Times New Roman"/>
          <w:sz w:val="20"/>
          <w:szCs w:val="24"/>
        </w:rPr>
        <w:t xml:space="preserve">, </w:t>
      </w:r>
      <m:oMath>
        <m:sSubSup>
          <m:sSubSupPr>
            <m:ctrlPr>
              <w:rPr>
                <w:rFonts w:ascii="Cambria Math" w:hAnsi="Cambria Math" w:cs="Times New Roman"/>
                <w:i/>
                <w:szCs w:val="24"/>
              </w:rPr>
            </m:ctrlPr>
          </m:sSubSupPr>
          <m:e>
            <m:r>
              <w:rPr>
                <w:rFonts w:ascii="Cambria Math" w:hAnsi="Cambria Math" w:cs="Times New Roman"/>
                <w:sz w:val="20"/>
                <w:szCs w:val="24"/>
              </w:rPr>
              <m:t>χ</m:t>
            </m:r>
          </m:e>
          <m:sub>
            <m:r>
              <w:rPr>
                <w:rFonts w:ascii="Cambria Math" w:hAnsi="Cambria Math" w:cs="Times New Roman"/>
                <w:sz w:val="20"/>
                <w:szCs w:val="24"/>
              </w:rPr>
              <m:t>JB</m:t>
            </m:r>
          </m:sub>
          <m:sup>
            <m:r>
              <w:rPr>
                <w:rFonts w:ascii="Cambria Math" w:hAnsi="Cambria Math" w:cs="Times New Roman"/>
                <w:sz w:val="20"/>
                <w:szCs w:val="24"/>
              </w:rPr>
              <m:t>2</m:t>
            </m:r>
          </m:sup>
        </m:sSubSup>
      </m:oMath>
      <w:r w:rsidRPr="006C520E">
        <w:rPr>
          <w:rFonts w:eastAsia="Times New Roman" w:cs="Times New Roman"/>
          <w:sz w:val="20"/>
          <w:szCs w:val="24"/>
        </w:rPr>
        <w:t xml:space="preserve">, and </w:t>
      </w:r>
      <m:oMath>
        <m:sSubSup>
          <m:sSubSupPr>
            <m:ctrlPr>
              <w:rPr>
                <w:rFonts w:ascii="Cambria Math" w:hAnsi="Cambria Math" w:cs="Times New Roman"/>
                <w:i/>
                <w:szCs w:val="24"/>
              </w:rPr>
            </m:ctrlPr>
          </m:sSubSupPr>
          <m:e>
            <m:r>
              <w:rPr>
                <w:rFonts w:ascii="Cambria Math" w:hAnsi="Cambria Math" w:cs="Times New Roman"/>
                <w:sz w:val="20"/>
                <w:szCs w:val="24"/>
              </w:rPr>
              <m:t>χ</m:t>
            </m:r>
          </m:e>
          <m:sub>
            <m:r>
              <w:rPr>
                <w:rFonts w:ascii="Cambria Math" w:hAnsi="Cambria Math" w:cs="Times New Roman"/>
                <w:sz w:val="20"/>
                <w:szCs w:val="24"/>
              </w:rPr>
              <m:t>FF</m:t>
            </m:r>
          </m:sub>
          <m:sup>
            <m:r>
              <w:rPr>
                <w:rFonts w:ascii="Cambria Math" w:hAnsi="Cambria Math" w:cs="Times New Roman"/>
                <w:sz w:val="20"/>
                <w:szCs w:val="24"/>
              </w:rPr>
              <m:t>2</m:t>
            </m:r>
          </m:sup>
        </m:sSubSup>
      </m:oMath>
      <w:r w:rsidRPr="006C520E">
        <w:rPr>
          <w:rFonts w:eastAsia="Times New Roman" w:cs="Times New Roman"/>
          <w:sz w:val="20"/>
          <w:szCs w:val="24"/>
        </w:rPr>
        <w:t xml:space="preserve"> denote Breusch-Godfrey’s serial correlation LM test, Jarque-</w:t>
      </w:r>
      <w:proofErr w:type="spellStart"/>
      <w:r w:rsidRPr="006C520E">
        <w:rPr>
          <w:rFonts w:eastAsia="Times New Roman" w:cs="Times New Roman"/>
          <w:sz w:val="20"/>
          <w:szCs w:val="24"/>
        </w:rPr>
        <w:t>Bera</w:t>
      </w:r>
      <w:proofErr w:type="spellEnd"/>
      <w:r w:rsidRPr="006C520E">
        <w:rPr>
          <w:rFonts w:eastAsia="Times New Roman" w:cs="Times New Roman"/>
          <w:sz w:val="20"/>
          <w:szCs w:val="24"/>
        </w:rPr>
        <w:t xml:space="preserve"> normality test and Ramsey RESET F-statistic, respectively. The model is estimated by setting the maximum lag to 4, while the optimal lag-length is suggested by </w:t>
      </w:r>
      <w:r w:rsidRPr="006C520E">
        <w:rPr>
          <w:rFonts w:cs="Times New Roman"/>
          <w:sz w:val="20"/>
          <w:szCs w:val="24"/>
        </w:rPr>
        <w:t>AIC</w:t>
      </w:r>
      <w:r w:rsidRPr="006C520E">
        <w:rPr>
          <w:rFonts w:eastAsia="Times New Roman" w:cs="Times New Roman"/>
          <w:sz w:val="20"/>
          <w:szCs w:val="24"/>
        </w:rPr>
        <w:t>.</w:t>
      </w:r>
      <w:bookmarkEnd w:id="2"/>
    </w:p>
    <w:p w14:paraId="7C7C05FE" w14:textId="77777777" w:rsidR="00603ADE" w:rsidRPr="006C520E" w:rsidRDefault="00603ADE" w:rsidP="00603ADE">
      <w:pPr>
        <w:spacing w:before="240" w:after="0"/>
      </w:pPr>
      <w:r w:rsidRPr="006C520E">
        <w:rPr>
          <w:b/>
          <w:bCs/>
        </w:rPr>
        <w:t>Table 5</w:t>
      </w:r>
      <w:r w:rsidRPr="006C520E">
        <w:t xml:space="preserve"> Short run estimates of oil, growth and the underground economy relationship</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1962"/>
        <w:gridCol w:w="1962"/>
        <w:gridCol w:w="2076"/>
        <w:gridCol w:w="1956"/>
      </w:tblGrid>
      <w:tr w:rsidR="00603ADE" w:rsidRPr="006C520E" w14:paraId="78969BC3" w14:textId="77777777" w:rsidTr="009A58A3">
        <w:tc>
          <w:tcPr>
            <w:tcW w:w="750" w:type="pct"/>
            <w:vMerge w:val="restart"/>
            <w:tcBorders>
              <w:top w:val="single" w:sz="4" w:space="0" w:color="auto"/>
              <w:bottom w:val="nil"/>
            </w:tcBorders>
            <w:vAlign w:val="center"/>
          </w:tcPr>
          <w:p w14:paraId="3CFEE29A" w14:textId="77777777" w:rsidR="00603ADE" w:rsidRPr="006C520E" w:rsidRDefault="00603ADE" w:rsidP="009A58A3">
            <w:pPr>
              <w:rPr>
                <w:rFonts w:cs="Times New Roman"/>
                <w:b/>
                <w:szCs w:val="24"/>
              </w:rPr>
            </w:pPr>
            <w:r w:rsidRPr="006C520E">
              <w:rPr>
                <w:rFonts w:cs="Times New Roman"/>
                <w:b/>
                <w:szCs w:val="24"/>
              </w:rPr>
              <w:t>Regressors</w:t>
            </w:r>
          </w:p>
        </w:tc>
        <w:tc>
          <w:tcPr>
            <w:tcW w:w="4250" w:type="pct"/>
            <w:gridSpan w:val="4"/>
            <w:tcBorders>
              <w:top w:val="single" w:sz="4" w:space="0" w:color="auto"/>
              <w:bottom w:val="single" w:sz="4" w:space="0" w:color="auto"/>
            </w:tcBorders>
          </w:tcPr>
          <w:p w14:paraId="1947F534" w14:textId="77777777" w:rsidR="00603ADE" w:rsidRPr="006C520E" w:rsidRDefault="00603ADE" w:rsidP="009A58A3">
            <w:pPr>
              <w:autoSpaceDE w:val="0"/>
              <w:autoSpaceDN w:val="0"/>
              <w:adjustRightInd w:val="0"/>
              <w:jc w:val="right"/>
              <w:rPr>
                <w:rFonts w:cs="Times New Roman"/>
                <w:szCs w:val="24"/>
              </w:rPr>
            </w:pPr>
            <w:r w:rsidRPr="006C520E">
              <w:rPr>
                <w:rFonts w:cs="Times New Roman"/>
                <w:szCs w:val="24"/>
              </w:rPr>
              <w:t xml:space="preserve">Dependent Variable: </w:t>
            </w:r>
            <m:oMath>
              <m:r>
                <w:rPr>
                  <w:rFonts w:ascii="Cambria Math" w:hAnsi="Cambria Math" w:cs="Times New Roman"/>
                  <w:szCs w:val="24"/>
                </w:rPr>
                <m:t>∆y</m:t>
              </m:r>
            </m:oMath>
          </w:p>
        </w:tc>
      </w:tr>
      <w:tr w:rsidR="00603ADE" w:rsidRPr="006C520E" w14:paraId="28CE44C6" w14:textId="77777777" w:rsidTr="009A58A3">
        <w:tc>
          <w:tcPr>
            <w:tcW w:w="750" w:type="pct"/>
            <w:vMerge/>
            <w:tcBorders>
              <w:top w:val="nil"/>
              <w:bottom w:val="single" w:sz="4" w:space="0" w:color="auto"/>
            </w:tcBorders>
          </w:tcPr>
          <w:p w14:paraId="44E279CE" w14:textId="77777777" w:rsidR="00603ADE" w:rsidRPr="006C520E" w:rsidRDefault="00603ADE" w:rsidP="009A58A3">
            <w:pPr>
              <w:rPr>
                <w:rFonts w:cs="Times New Roman"/>
                <w:szCs w:val="24"/>
              </w:rPr>
            </w:pPr>
          </w:p>
        </w:tc>
        <w:tc>
          <w:tcPr>
            <w:tcW w:w="1048" w:type="pct"/>
            <w:tcBorders>
              <w:top w:val="single" w:sz="4" w:space="0" w:color="auto"/>
              <w:bottom w:val="nil"/>
              <w:right w:val="nil"/>
            </w:tcBorders>
            <w:vAlign w:val="center"/>
          </w:tcPr>
          <w:p w14:paraId="3F67B851" w14:textId="77777777" w:rsidR="00603ADE" w:rsidRPr="006C520E" w:rsidRDefault="00603ADE" w:rsidP="009A58A3">
            <w:pPr>
              <w:jc w:val="center"/>
              <w:rPr>
                <w:rFonts w:cs="Times New Roman"/>
                <w:szCs w:val="24"/>
              </w:rPr>
            </w:pPr>
          </w:p>
        </w:tc>
        <w:tc>
          <w:tcPr>
            <w:tcW w:w="2157" w:type="pct"/>
            <w:gridSpan w:val="2"/>
            <w:tcBorders>
              <w:top w:val="single" w:sz="4" w:space="0" w:color="auto"/>
              <w:left w:val="nil"/>
              <w:bottom w:val="single" w:sz="4" w:space="0" w:color="auto"/>
              <w:right w:val="nil"/>
            </w:tcBorders>
            <w:vAlign w:val="center"/>
          </w:tcPr>
          <w:p w14:paraId="0916C529" w14:textId="77777777" w:rsidR="00603ADE" w:rsidRPr="006C520E" w:rsidRDefault="00603ADE" w:rsidP="009A58A3">
            <w:pPr>
              <w:jc w:val="center"/>
              <w:rPr>
                <w:rFonts w:cs="Times New Roman"/>
                <w:szCs w:val="24"/>
              </w:rPr>
            </w:pPr>
            <w:r w:rsidRPr="006C520E">
              <w:rPr>
                <w:rFonts w:cs="Times New Roman"/>
                <w:szCs w:val="24"/>
              </w:rPr>
              <w:t>Lag order</w:t>
            </w:r>
          </w:p>
        </w:tc>
        <w:tc>
          <w:tcPr>
            <w:tcW w:w="1045" w:type="pct"/>
            <w:tcBorders>
              <w:top w:val="single" w:sz="4" w:space="0" w:color="auto"/>
              <w:left w:val="nil"/>
              <w:bottom w:val="nil"/>
            </w:tcBorders>
            <w:vAlign w:val="center"/>
          </w:tcPr>
          <w:p w14:paraId="49965F2E" w14:textId="77777777" w:rsidR="00603ADE" w:rsidRPr="006C520E" w:rsidRDefault="00603ADE" w:rsidP="009A58A3">
            <w:pPr>
              <w:jc w:val="center"/>
              <w:rPr>
                <w:rFonts w:cs="Times New Roman"/>
                <w:szCs w:val="24"/>
              </w:rPr>
            </w:pPr>
          </w:p>
        </w:tc>
      </w:tr>
      <w:tr w:rsidR="00603ADE" w:rsidRPr="006C520E" w14:paraId="53FD0566" w14:textId="77777777" w:rsidTr="009A58A3">
        <w:tc>
          <w:tcPr>
            <w:tcW w:w="750" w:type="pct"/>
            <w:vMerge/>
            <w:tcBorders>
              <w:top w:val="single" w:sz="4" w:space="0" w:color="auto"/>
              <w:bottom w:val="single" w:sz="4" w:space="0" w:color="auto"/>
            </w:tcBorders>
          </w:tcPr>
          <w:p w14:paraId="0C312A56" w14:textId="77777777" w:rsidR="00603ADE" w:rsidRPr="006C520E" w:rsidRDefault="00603ADE" w:rsidP="009A58A3">
            <w:pPr>
              <w:rPr>
                <w:rFonts w:cs="Times New Roman"/>
                <w:szCs w:val="24"/>
              </w:rPr>
            </w:pPr>
          </w:p>
        </w:tc>
        <w:tc>
          <w:tcPr>
            <w:tcW w:w="1048" w:type="pct"/>
            <w:tcBorders>
              <w:top w:val="nil"/>
              <w:bottom w:val="single" w:sz="4" w:space="0" w:color="auto"/>
              <w:right w:val="nil"/>
            </w:tcBorders>
            <w:vAlign w:val="center"/>
          </w:tcPr>
          <w:p w14:paraId="5531E6E1" w14:textId="77777777" w:rsidR="00603ADE" w:rsidRPr="006C520E" w:rsidRDefault="00603ADE" w:rsidP="009A58A3">
            <w:pPr>
              <w:jc w:val="center"/>
              <w:rPr>
                <w:rFonts w:cs="Times New Roman"/>
                <w:szCs w:val="24"/>
              </w:rPr>
            </w:pPr>
            <w:r w:rsidRPr="006C520E">
              <w:rPr>
                <w:rFonts w:cs="Times New Roman"/>
                <w:bCs/>
                <w:szCs w:val="24"/>
              </w:rPr>
              <w:t>0</w:t>
            </w:r>
          </w:p>
        </w:tc>
        <w:tc>
          <w:tcPr>
            <w:tcW w:w="1048" w:type="pct"/>
            <w:tcBorders>
              <w:top w:val="single" w:sz="4" w:space="0" w:color="auto"/>
              <w:left w:val="nil"/>
              <w:bottom w:val="single" w:sz="4" w:space="0" w:color="auto"/>
            </w:tcBorders>
            <w:vAlign w:val="center"/>
          </w:tcPr>
          <w:p w14:paraId="76732412" w14:textId="77777777" w:rsidR="00603ADE" w:rsidRPr="006C520E" w:rsidRDefault="00603ADE" w:rsidP="009A58A3">
            <w:pPr>
              <w:jc w:val="center"/>
              <w:rPr>
                <w:rFonts w:cs="Times New Roman"/>
                <w:szCs w:val="24"/>
              </w:rPr>
            </w:pPr>
            <w:r w:rsidRPr="006C520E">
              <w:rPr>
                <w:rFonts w:cs="Times New Roman"/>
                <w:bCs/>
                <w:szCs w:val="24"/>
              </w:rPr>
              <w:t>1</w:t>
            </w:r>
          </w:p>
        </w:tc>
        <w:tc>
          <w:tcPr>
            <w:tcW w:w="1109" w:type="pct"/>
            <w:tcBorders>
              <w:top w:val="single" w:sz="4" w:space="0" w:color="auto"/>
              <w:bottom w:val="single" w:sz="4" w:space="0" w:color="auto"/>
              <w:right w:val="nil"/>
            </w:tcBorders>
            <w:vAlign w:val="center"/>
          </w:tcPr>
          <w:p w14:paraId="3A3BBAAE" w14:textId="77777777" w:rsidR="00603ADE" w:rsidRPr="006C520E" w:rsidRDefault="00603ADE" w:rsidP="009A58A3">
            <w:pPr>
              <w:jc w:val="center"/>
              <w:rPr>
                <w:rFonts w:cs="Times New Roman"/>
                <w:szCs w:val="24"/>
              </w:rPr>
            </w:pPr>
            <w:r w:rsidRPr="006C520E">
              <w:rPr>
                <w:rFonts w:cs="Times New Roman"/>
                <w:bCs/>
                <w:szCs w:val="24"/>
              </w:rPr>
              <w:t>2</w:t>
            </w:r>
          </w:p>
        </w:tc>
        <w:tc>
          <w:tcPr>
            <w:tcW w:w="1045" w:type="pct"/>
            <w:tcBorders>
              <w:top w:val="nil"/>
              <w:left w:val="nil"/>
              <w:bottom w:val="single" w:sz="4" w:space="0" w:color="auto"/>
            </w:tcBorders>
          </w:tcPr>
          <w:p w14:paraId="20756DAB" w14:textId="77777777" w:rsidR="00603ADE" w:rsidRPr="006C520E" w:rsidRDefault="00603ADE" w:rsidP="009A58A3">
            <w:pPr>
              <w:jc w:val="center"/>
              <w:rPr>
                <w:rFonts w:cs="Times New Roman"/>
                <w:szCs w:val="24"/>
              </w:rPr>
            </w:pPr>
            <w:r w:rsidRPr="006C520E">
              <w:rPr>
                <w:rFonts w:cs="Times New Roman"/>
                <w:szCs w:val="24"/>
              </w:rPr>
              <w:t>3</w:t>
            </w:r>
          </w:p>
        </w:tc>
      </w:tr>
      <w:tr w:rsidR="00603ADE" w:rsidRPr="006C520E" w14:paraId="1A492FD1" w14:textId="77777777" w:rsidTr="009A58A3">
        <w:tc>
          <w:tcPr>
            <w:tcW w:w="5000" w:type="pct"/>
            <w:gridSpan w:val="5"/>
            <w:tcBorders>
              <w:top w:val="single" w:sz="4" w:space="0" w:color="auto"/>
              <w:bottom w:val="single" w:sz="4" w:space="0" w:color="auto"/>
            </w:tcBorders>
          </w:tcPr>
          <w:p w14:paraId="2CC4F073" w14:textId="77777777" w:rsidR="00603ADE" w:rsidRPr="006C520E" w:rsidRDefault="00603ADE" w:rsidP="009A58A3">
            <w:pPr>
              <w:rPr>
                <w:rFonts w:cs="Times New Roman"/>
                <w:szCs w:val="24"/>
              </w:rPr>
            </w:pPr>
            <w:r w:rsidRPr="006C520E">
              <w:rPr>
                <w:rFonts w:cs="Times New Roman"/>
                <w:szCs w:val="24"/>
              </w:rPr>
              <w:t xml:space="preserve">Panel A: Model I – </w:t>
            </w:r>
            <w:proofErr w:type="gramStart"/>
            <w:r w:rsidRPr="006C520E">
              <w:rPr>
                <w:rFonts w:cs="Times New Roman"/>
                <w:szCs w:val="24"/>
              </w:rPr>
              <w:t>ARDL(</w:t>
            </w:r>
            <w:proofErr w:type="gramEnd"/>
            <w:r w:rsidRPr="006C520E">
              <w:rPr>
                <w:rFonts w:cs="Times New Roman"/>
                <w:szCs w:val="24"/>
              </w:rPr>
              <w:t>2,2,4,2,2,2,4,4,2)</w:t>
            </w:r>
          </w:p>
        </w:tc>
      </w:tr>
      <w:tr w:rsidR="00603ADE" w:rsidRPr="006C520E" w14:paraId="700AC7BA" w14:textId="77777777" w:rsidTr="009A58A3">
        <w:tc>
          <w:tcPr>
            <w:tcW w:w="750" w:type="pct"/>
            <w:tcBorders>
              <w:top w:val="single" w:sz="4" w:space="0" w:color="auto"/>
            </w:tcBorders>
          </w:tcPr>
          <w:p w14:paraId="04BC15B5"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∆y</m:t>
                </m:r>
              </m:oMath>
            </m:oMathPara>
          </w:p>
        </w:tc>
        <w:tc>
          <w:tcPr>
            <w:tcW w:w="1048" w:type="pct"/>
            <w:tcBorders>
              <w:top w:val="single" w:sz="4" w:space="0" w:color="auto"/>
            </w:tcBorders>
            <w:vAlign w:val="center"/>
          </w:tcPr>
          <w:p w14:paraId="3E997DBF" w14:textId="77777777" w:rsidR="00603ADE" w:rsidRPr="006C520E" w:rsidRDefault="00603ADE" w:rsidP="009A58A3">
            <w:pPr>
              <w:rPr>
                <w:rFonts w:cs="Times New Roman"/>
                <w:szCs w:val="24"/>
              </w:rPr>
            </w:pPr>
          </w:p>
        </w:tc>
        <w:tc>
          <w:tcPr>
            <w:tcW w:w="1048" w:type="pct"/>
            <w:tcBorders>
              <w:top w:val="single" w:sz="4" w:space="0" w:color="auto"/>
            </w:tcBorders>
            <w:vAlign w:val="center"/>
          </w:tcPr>
          <w:p w14:paraId="2179DCAF" w14:textId="77777777" w:rsidR="00603ADE" w:rsidRPr="006C520E" w:rsidRDefault="00603ADE" w:rsidP="009A58A3">
            <w:pPr>
              <w:rPr>
                <w:rFonts w:cs="Times New Roman"/>
                <w:szCs w:val="24"/>
                <w:vertAlign w:val="superscript"/>
              </w:rPr>
            </w:pPr>
            <w:r w:rsidRPr="006C520E">
              <w:rPr>
                <w:rFonts w:cs="Times New Roman"/>
                <w:szCs w:val="24"/>
              </w:rPr>
              <w:t>0.9612 (</w:t>
            </w:r>
            <w:proofErr w:type="gramStart"/>
            <w:r w:rsidRPr="006C520E">
              <w:rPr>
                <w:rFonts w:cs="Times New Roman"/>
                <w:szCs w:val="24"/>
              </w:rPr>
              <w:t>0.028)</w:t>
            </w:r>
            <w:r w:rsidRPr="006C520E">
              <w:rPr>
                <w:rFonts w:cs="Times New Roman"/>
                <w:szCs w:val="24"/>
                <w:vertAlign w:val="superscript"/>
              </w:rPr>
              <w:t>*</w:t>
            </w:r>
            <w:proofErr w:type="gramEnd"/>
            <w:r w:rsidRPr="006C520E">
              <w:rPr>
                <w:rFonts w:cs="Times New Roman"/>
                <w:szCs w:val="24"/>
                <w:vertAlign w:val="superscript"/>
              </w:rPr>
              <w:t>*</w:t>
            </w:r>
          </w:p>
        </w:tc>
        <w:tc>
          <w:tcPr>
            <w:tcW w:w="1109" w:type="pct"/>
            <w:tcBorders>
              <w:top w:val="single" w:sz="4" w:space="0" w:color="auto"/>
            </w:tcBorders>
            <w:vAlign w:val="center"/>
          </w:tcPr>
          <w:p w14:paraId="5B13E650" w14:textId="77777777" w:rsidR="00603ADE" w:rsidRPr="006C520E" w:rsidRDefault="00603ADE" w:rsidP="009A58A3">
            <w:pPr>
              <w:rPr>
                <w:rFonts w:cs="Times New Roman"/>
                <w:szCs w:val="24"/>
              </w:rPr>
            </w:pPr>
          </w:p>
        </w:tc>
        <w:tc>
          <w:tcPr>
            <w:tcW w:w="1045" w:type="pct"/>
            <w:tcBorders>
              <w:top w:val="single" w:sz="4" w:space="0" w:color="auto"/>
            </w:tcBorders>
          </w:tcPr>
          <w:p w14:paraId="25776281" w14:textId="77777777" w:rsidR="00603ADE" w:rsidRPr="006C520E" w:rsidRDefault="00603ADE" w:rsidP="009A58A3">
            <w:pPr>
              <w:rPr>
                <w:rFonts w:cs="Times New Roman"/>
                <w:szCs w:val="24"/>
              </w:rPr>
            </w:pPr>
          </w:p>
        </w:tc>
      </w:tr>
      <w:tr w:rsidR="00603ADE" w:rsidRPr="006C520E" w14:paraId="5C09F72F" w14:textId="77777777" w:rsidTr="009A58A3">
        <w:tc>
          <w:tcPr>
            <w:tcW w:w="750" w:type="pct"/>
          </w:tcPr>
          <w:p w14:paraId="689D14BE"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m:t>
                </m:r>
              </m:oMath>
            </m:oMathPara>
          </w:p>
        </w:tc>
        <w:tc>
          <w:tcPr>
            <w:tcW w:w="1048" w:type="pct"/>
            <w:vAlign w:val="center"/>
          </w:tcPr>
          <w:p w14:paraId="6D31A5B2" w14:textId="77777777" w:rsidR="00603ADE" w:rsidRPr="006C520E" w:rsidRDefault="00603ADE" w:rsidP="009A58A3">
            <w:pPr>
              <w:rPr>
                <w:rFonts w:cs="Times New Roman"/>
                <w:szCs w:val="24"/>
                <w:vertAlign w:val="superscript"/>
              </w:rPr>
            </w:pPr>
            <w:r w:rsidRPr="006C520E">
              <w:rPr>
                <w:rFonts w:cs="Times New Roman"/>
                <w:szCs w:val="24"/>
              </w:rPr>
              <w:t>0.0033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24AE945A" w14:textId="77777777" w:rsidR="00603ADE" w:rsidRPr="006C520E" w:rsidRDefault="00603ADE" w:rsidP="009A58A3">
            <w:pPr>
              <w:rPr>
                <w:rFonts w:cs="Times New Roman"/>
                <w:szCs w:val="24"/>
              </w:rPr>
            </w:pPr>
            <w:r w:rsidRPr="006C520E">
              <w:rPr>
                <w:rFonts w:cs="Times New Roman"/>
                <w:szCs w:val="24"/>
              </w:rPr>
              <w:t>-0.0030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tcPr>
          <w:p w14:paraId="587E0FBE" w14:textId="77777777" w:rsidR="00603ADE" w:rsidRPr="006C520E" w:rsidRDefault="00603ADE" w:rsidP="009A58A3">
            <w:pPr>
              <w:rPr>
                <w:rFonts w:cs="Times New Roman"/>
                <w:szCs w:val="24"/>
              </w:rPr>
            </w:pPr>
            <w:r w:rsidRPr="006C520E">
              <w:rPr>
                <w:rFonts w:cs="Times New Roman"/>
                <w:szCs w:val="24"/>
              </w:rPr>
              <w:t>-0.0004 (0.001)</w:t>
            </w:r>
          </w:p>
        </w:tc>
        <w:tc>
          <w:tcPr>
            <w:tcW w:w="1045" w:type="pct"/>
            <w:vAlign w:val="center"/>
          </w:tcPr>
          <w:p w14:paraId="772EDE10" w14:textId="77777777" w:rsidR="00603ADE" w:rsidRPr="006C520E" w:rsidRDefault="00603ADE" w:rsidP="009A58A3">
            <w:pPr>
              <w:rPr>
                <w:rFonts w:cs="Times New Roman"/>
                <w:szCs w:val="24"/>
              </w:rPr>
            </w:pPr>
            <w:r w:rsidRPr="006C520E">
              <w:rPr>
                <w:rFonts w:cs="Times New Roman"/>
                <w:szCs w:val="24"/>
              </w:rPr>
              <w:t>0.0005 (0.001)</w:t>
            </w:r>
          </w:p>
        </w:tc>
      </w:tr>
      <w:tr w:rsidR="00603ADE" w:rsidRPr="006C520E" w14:paraId="6088CC58" w14:textId="77777777" w:rsidTr="009A58A3">
        <w:tc>
          <w:tcPr>
            <w:tcW w:w="750" w:type="pct"/>
          </w:tcPr>
          <w:p w14:paraId="055CAB28"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∆ue</m:t>
                </m:r>
              </m:oMath>
            </m:oMathPara>
          </w:p>
        </w:tc>
        <w:tc>
          <w:tcPr>
            <w:tcW w:w="1048" w:type="pct"/>
            <w:vAlign w:val="center"/>
          </w:tcPr>
          <w:p w14:paraId="4F1ED248" w14:textId="77777777" w:rsidR="00603ADE" w:rsidRPr="006C520E" w:rsidRDefault="00603ADE" w:rsidP="009A58A3">
            <w:pPr>
              <w:rPr>
                <w:rFonts w:cs="Times New Roman"/>
                <w:szCs w:val="24"/>
                <w:vertAlign w:val="superscript"/>
              </w:rPr>
            </w:pPr>
            <w:r w:rsidRPr="006C520E">
              <w:rPr>
                <w:rFonts w:cs="Times New Roman"/>
                <w:szCs w:val="24"/>
              </w:rPr>
              <w:t>0.0046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6C75E933" w14:textId="77777777" w:rsidR="00603ADE" w:rsidRPr="006C520E" w:rsidRDefault="00603ADE" w:rsidP="009A58A3">
            <w:pPr>
              <w:rPr>
                <w:rFonts w:cs="Times New Roman"/>
                <w:szCs w:val="24"/>
                <w:vertAlign w:val="superscript"/>
              </w:rPr>
            </w:pPr>
            <w:r w:rsidRPr="006C520E">
              <w:rPr>
                <w:rFonts w:cs="Times New Roman"/>
                <w:szCs w:val="24"/>
              </w:rPr>
              <w:t>-0.0055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02802997" w14:textId="77777777" w:rsidR="00603ADE" w:rsidRPr="006C520E" w:rsidRDefault="00603ADE" w:rsidP="009A58A3">
            <w:pPr>
              <w:rPr>
                <w:rFonts w:cs="Times New Roman"/>
                <w:szCs w:val="24"/>
              </w:rPr>
            </w:pPr>
          </w:p>
        </w:tc>
        <w:tc>
          <w:tcPr>
            <w:tcW w:w="1045" w:type="pct"/>
          </w:tcPr>
          <w:p w14:paraId="09C8343D" w14:textId="77777777" w:rsidR="00603ADE" w:rsidRPr="006C520E" w:rsidRDefault="00603ADE" w:rsidP="009A58A3">
            <w:pPr>
              <w:rPr>
                <w:rFonts w:cs="Times New Roman"/>
                <w:szCs w:val="24"/>
              </w:rPr>
            </w:pPr>
          </w:p>
        </w:tc>
      </w:tr>
      <w:tr w:rsidR="00603ADE" w:rsidRPr="006C520E" w14:paraId="52C9A0F6" w14:textId="77777777" w:rsidTr="009A58A3">
        <w:tc>
          <w:tcPr>
            <w:tcW w:w="750" w:type="pct"/>
            <w:vAlign w:val="center"/>
          </w:tcPr>
          <w:p w14:paraId="7B14480A"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debt</m:t>
                </m:r>
              </m:oMath>
            </m:oMathPara>
          </w:p>
        </w:tc>
        <w:tc>
          <w:tcPr>
            <w:tcW w:w="1048" w:type="pct"/>
            <w:vAlign w:val="center"/>
          </w:tcPr>
          <w:p w14:paraId="541C90C2" w14:textId="77777777" w:rsidR="00603ADE" w:rsidRPr="006C520E" w:rsidRDefault="00603ADE" w:rsidP="009A58A3">
            <w:pPr>
              <w:rPr>
                <w:rFonts w:cs="Times New Roman"/>
                <w:szCs w:val="24"/>
                <w:vertAlign w:val="superscript"/>
              </w:rPr>
            </w:pPr>
            <w:r w:rsidRPr="006C520E">
              <w:rPr>
                <w:rFonts w:cs="Times New Roman"/>
                <w:szCs w:val="24"/>
              </w:rPr>
              <w:t>-0.0016 (</w:t>
            </w:r>
            <w:proofErr w:type="gramStart"/>
            <w:r w:rsidRPr="006C520E">
              <w:rPr>
                <w:rFonts w:cs="Times New Roman"/>
                <w:szCs w:val="24"/>
              </w:rPr>
              <w:t>0.0003)</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66EA3652" w14:textId="77777777" w:rsidR="00603ADE" w:rsidRPr="006C520E" w:rsidRDefault="00603ADE" w:rsidP="009A58A3">
            <w:pPr>
              <w:rPr>
                <w:rFonts w:cs="Times New Roman"/>
                <w:szCs w:val="24"/>
                <w:vertAlign w:val="superscript"/>
              </w:rPr>
            </w:pPr>
            <w:r w:rsidRPr="006C520E">
              <w:rPr>
                <w:rFonts w:cs="Times New Roman"/>
                <w:szCs w:val="24"/>
              </w:rPr>
              <w:t>0.0014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4232CB72" w14:textId="77777777" w:rsidR="00603ADE" w:rsidRPr="006C520E" w:rsidRDefault="00603ADE" w:rsidP="009A58A3">
            <w:pPr>
              <w:rPr>
                <w:rFonts w:cs="Times New Roman"/>
                <w:szCs w:val="24"/>
              </w:rPr>
            </w:pPr>
            <w:r w:rsidRPr="006C520E">
              <w:rPr>
                <w:rFonts w:cs="Times New Roman"/>
                <w:szCs w:val="24"/>
              </w:rPr>
              <w:t>-0.0002 (0.001)</w:t>
            </w:r>
          </w:p>
        </w:tc>
        <w:tc>
          <w:tcPr>
            <w:tcW w:w="1045" w:type="pct"/>
          </w:tcPr>
          <w:p w14:paraId="31B39E38" w14:textId="77777777" w:rsidR="00603ADE" w:rsidRPr="006C520E" w:rsidRDefault="00603ADE" w:rsidP="009A58A3">
            <w:pPr>
              <w:rPr>
                <w:rFonts w:cs="Times New Roman"/>
                <w:szCs w:val="24"/>
              </w:rPr>
            </w:pPr>
            <w:r w:rsidRPr="006C520E">
              <w:rPr>
                <w:rFonts w:cs="Times New Roman"/>
                <w:szCs w:val="24"/>
              </w:rPr>
              <w:t>-0.0001 (0.0003)</w:t>
            </w:r>
          </w:p>
        </w:tc>
      </w:tr>
      <w:tr w:rsidR="00603ADE" w:rsidRPr="006C520E" w14:paraId="2AD8FA32" w14:textId="77777777" w:rsidTr="009A58A3">
        <w:tc>
          <w:tcPr>
            <w:tcW w:w="750" w:type="pct"/>
            <w:vAlign w:val="center"/>
          </w:tcPr>
          <w:p w14:paraId="1C30D64F"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dinv</m:t>
                </m:r>
              </m:oMath>
            </m:oMathPara>
          </w:p>
        </w:tc>
        <w:tc>
          <w:tcPr>
            <w:tcW w:w="1048" w:type="pct"/>
            <w:vAlign w:val="center"/>
          </w:tcPr>
          <w:p w14:paraId="189A5F7B" w14:textId="77777777" w:rsidR="00603ADE" w:rsidRPr="006C520E" w:rsidRDefault="00603ADE" w:rsidP="009A58A3">
            <w:pPr>
              <w:rPr>
                <w:rFonts w:cs="Times New Roman"/>
                <w:szCs w:val="24"/>
                <w:vertAlign w:val="superscript"/>
              </w:rPr>
            </w:pPr>
            <w:r w:rsidRPr="006C520E">
              <w:rPr>
                <w:rFonts w:cs="Times New Roman"/>
                <w:szCs w:val="24"/>
              </w:rPr>
              <w:t>0.0065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754DAFCC" w14:textId="77777777" w:rsidR="00603ADE" w:rsidRPr="006C520E" w:rsidRDefault="00603ADE" w:rsidP="009A58A3">
            <w:pPr>
              <w:rPr>
                <w:rFonts w:cs="Times New Roman"/>
                <w:szCs w:val="24"/>
                <w:vertAlign w:val="superscript"/>
              </w:rPr>
            </w:pPr>
            <w:r w:rsidRPr="006C520E">
              <w:rPr>
                <w:rFonts w:cs="Times New Roman"/>
                <w:szCs w:val="24"/>
              </w:rPr>
              <w:t>-0.0053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405E1534" w14:textId="77777777" w:rsidR="00603ADE" w:rsidRPr="006C520E" w:rsidRDefault="00603ADE" w:rsidP="009A58A3">
            <w:pPr>
              <w:rPr>
                <w:rFonts w:cs="Times New Roman"/>
                <w:szCs w:val="24"/>
              </w:rPr>
            </w:pPr>
          </w:p>
        </w:tc>
        <w:tc>
          <w:tcPr>
            <w:tcW w:w="1045" w:type="pct"/>
          </w:tcPr>
          <w:p w14:paraId="74603B89" w14:textId="77777777" w:rsidR="00603ADE" w:rsidRPr="006C520E" w:rsidRDefault="00603ADE" w:rsidP="009A58A3">
            <w:pPr>
              <w:rPr>
                <w:rFonts w:cs="Times New Roman"/>
                <w:szCs w:val="24"/>
              </w:rPr>
            </w:pPr>
          </w:p>
        </w:tc>
      </w:tr>
      <w:tr w:rsidR="00603ADE" w:rsidRPr="006C520E" w14:paraId="1C534305" w14:textId="77777777" w:rsidTr="009A58A3">
        <w:tc>
          <w:tcPr>
            <w:tcW w:w="750" w:type="pct"/>
            <w:vAlign w:val="center"/>
          </w:tcPr>
          <w:p w14:paraId="61031AB7"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fx</m:t>
                </m:r>
              </m:oMath>
            </m:oMathPara>
          </w:p>
        </w:tc>
        <w:tc>
          <w:tcPr>
            <w:tcW w:w="1048" w:type="pct"/>
            <w:vAlign w:val="center"/>
          </w:tcPr>
          <w:p w14:paraId="4F24D46B" w14:textId="77777777" w:rsidR="00603ADE" w:rsidRPr="006C520E" w:rsidRDefault="00603ADE" w:rsidP="009A58A3">
            <w:pPr>
              <w:rPr>
                <w:rFonts w:cs="Times New Roman"/>
                <w:szCs w:val="24"/>
                <w:vertAlign w:val="superscript"/>
              </w:rPr>
            </w:pPr>
            <w:r w:rsidRPr="006C520E">
              <w:rPr>
                <w:rFonts w:cs="Times New Roman"/>
                <w:szCs w:val="24"/>
              </w:rPr>
              <w:t>0.0001 (</w:t>
            </w:r>
            <w:proofErr w:type="gramStart"/>
            <w:r w:rsidRPr="006C520E">
              <w:rPr>
                <w:rFonts w:cs="Times New Roman"/>
                <w:szCs w:val="24"/>
              </w:rPr>
              <w:t>0.00003)</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52F5E2F6" w14:textId="77777777" w:rsidR="00603ADE" w:rsidRPr="006C520E" w:rsidRDefault="00603ADE" w:rsidP="009A58A3">
            <w:pPr>
              <w:rPr>
                <w:rFonts w:cs="Times New Roman"/>
                <w:szCs w:val="24"/>
                <w:vertAlign w:val="superscript"/>
              </w:rPr>
            </w:pPr>
            <w:r w:rsidRPr="006C520E">
              <w:rPr>
                <w:rFonts w:cs="Times New Roman"/>
                <w:szCs w:val="24"/>
              </w:rPr>
              <w:t>0.0001 (</w:t>
            </w:r>
            <w:proofErr w:type="gramStart"/>
            <w:r w:rsidRPr="006C520E">
              <w:rPr>
                <w:rFonts w:cs="Times New Roman"/>
                <w:szCs w:val="24"/>
              </w:rPr>
              <w:t>0.00003)</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3E10EC41" w14:textId="77777777" w:rsidR="00603ADE" w:rsidRPr="006C520E" w:rsidRDefault="00603ADE" w:rsidP="009A58A3">
            <w:pPr>
              <w:rPr>
                <w:rFonts w:cs="Times New Roman"/>
                <w:szCs w:val="24"/>
                <w:vertAlign w:val="superscript"/>
              </w:rPr>
            </w:pPr>
            <w:r w:rsidRPr="006C520E">
              <w:rPr>
                <w:rFonts w:cs="Times New Roman"/>
                <w:szCs w:val="24"/>
              </w:rPr>
              <w:t>0.0001 (</w:t>
            </w:r>
            <w:proofErr w:type="gramStart"/>
            <w:r w:rsidRPr="006C520E">
              <w:rPr>
                <w:rFonts w:cs="Times New Roman"/>
                <w:szCs w:val="24"/>
              </w:rPr>
              <w:t>0.00003)</w:t>
            </w:r>
            <w:r w:rsidRPr="006C520E">
              <w:rPr>
                <w:rFonts w:cs="Times New Roman"/>
                <w:szCs w:val="24"/>
                <w:vertAlign w:val="superscript"/>
              </w:rPr>
              <w:t>*</w:t>
            </w:r>
            <w:proofErr w:type="gramEnd"/>
            <w:r w:rsidRPr="006C520E">
              <w:rPr>
                <w:rFonts w:cs="Times New Roman"/>
                <w:szCs w:val="24"/>
                <w:vertAlign w:val="superscript"/>
              </w:rPr>
              <w:t>*</w:t>
            </w:r>
          </w:p>
        </w:tc>
        <w:tc>
          <w:tcPr>
            <w:tcW w:w="1045" w:type="pct"/>
          </w:tcPr>
          <w:p w14:paraId="2A44613E" w14:textId="77777777" w:rsidR="00603ADE" w:rsidRPr="006C520E" w:rsidRDefault="00603ADE" w:rsidP="009A58A3">
            <w:pPr>
              <w:rPr>
                <w:rFonts w:cs="Times New Roman"/>
                <w:szCs w:val="24"/>
              </w:rPr>
            </w:pPr>
          </w:p>
        </w:tc>
      </w:tr>
      <w:tr w:rsidR="00603ADE" w:rsidRPr="006C520E" w14:paraId="2895DB84" w14:textId="77777777" w:rsidTr="009A58A3">
        <w:tc>
          <w:tcPr>
            <w:tcW w:w="750" w:type="pct"/>
            <w:vAlign w:val="center"/>
          </w:tcPr>
          <w:p w14:paraId="413ED2D6"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w:lastRenderedPageBreak/>
                  <m:t>∆</m:t>
                </m:r>
                <m:r>
                  <w:rPr>
                    <w:rFonts w:ascii="Cambria Math" w:hAnsi="Cambria Math"/>
                  </w:rPr>
                  <m:t>fbal</m:t>
                </m:r>
              </m:oMath>
            </m:oMathPara>
          </w:p>
        </w:tc>
        <w:tc>
          <w:tcPr>
            <w:tcW w:w="1048" w:type="pct"/>
            <w:vAlign w:val="center"/>
          </w:tcPr>
          <w:p w14:paraId="222B222D" w14:textId="77777777" w:rsidR="00603ADE" w:rsidRPr="006C520E" w:rsidRDefault="00603ADE" w:rsidP="009A58A3">
            <w:pPr>
              <w:rPr>
                <w:rFonts w:cs="Times New Roman"/>
                <w:szCs w:val="24"/>
                <w:vertAlign w:val="superscript"/>
              </w:rPr>
            </w:pPr>
            <w:r w:rsidRPr="006C520E">
              <w:rPr>
                <w:rFonts w:cs="Times New Roman"/>
                <w:szCs w:val="24"/>
              </w:rPr>
              <w:t>0.0021 (</w:t>
            </w:r>
            <w:proofErr w:type="gramStart"/>
            <w:r w:rsidRPr="006C520E">
              <w:rPr>
                <w:rFonts w:cs="Times New Roman"/>
                <w:szCs w:val="24"/>
              </w:rPr>
              <w:t>0.0003)</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6BCAE84B" w14:textId="77777777" w:rsidR="00603ADE" w:rsidRPr="006C520E" w:rsidRDefault="00603ADE" w:rsidP="009A58A3">
            <w:pPr>
              <w:rPr>
                <w:rFonts w:cs="Times New Roman"/>
                <w:szCs w:val="24"/>
                <w:vertAlign w:val="superscript"/>
              </w:rPr>
            </w:pPr>
            <w:r w:rsidRPr="006C520E">
              <w:rPr>
                <w:rFonts w:cs="Times New Roman"/>
                <w:szCs w:val="24"/>
              </w:rPr>
              <w:t>-0.0021 (</w:t>
            </w:r>
            <w:proofErr w:type="gramStart"/>
            <w:r w:rsidRPr="006C520E">
              <w:rPr>
                <w:rFonts w:cs="Times New Roman"/>
                <w:szCs w:val="24"/>
              </w:rPr>
              <w:t>0.0003)</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623E7E2E" w14:textId="77777777" w:rsidR="00603ADE" w:rsidRPr="006C520E" w:rsidRDefault="00603ADE" w:rsidP="009A58A3">
            <w:pPr>
              <w:rPr>
                <w:rFonts w:cs="Times New Roman"/>
                <w:szCs w:val="24"/>
              </w:rPr>
            </w:pPr>
          </w:p>
        </w:tc>
        <w:tc>
          <w:tcPr>
            <w:tcW w:w="1045" w:type="pct"/>
          </w:tcPr>
          <w:p w14:paraId="127B8B26" w14:textId="77777777" w:rsidR="00603ADE" w:rsidRPr="006C520E" w:rsidRDefault="00603ADE" w:rsidP="009A58A3">
            <w:pPr>
              <w:rPr>
                <w:rFonts w:cs="Times New Roman"/>
                <w:szCs w:val="24"/>
              </w:rPr>
            </w:pPr>
          </w:p>
        </w:tc>
      </w:tr>
      <w:tr w:rsidR="00603ADE" w:rsidRPr="006C520E" w14:paraId="24DD0148" w14:textId="77777777" w:rsidTr="009A58A3">
        <w:tc>
          <w:tcPr>
            <w:tcW w:w="750" w:type="pct"/>
            <w:tcBorders>
              <w:bottom w:val="single" w:sz="4" w:space="0" w:color="auto"/>
            </w:tcBorders>
            <w:vAlign w:val="center"/>
          </w:tcPr>
          <w:p w14:paraId="18131EF6"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p</m:t>
                </m:r>
              </m:oMath>
            </m:oMathPara>
          </w:p>
        </w:tc>
        <w:tc>
          <w:tcPr>
            <w:tcW w:w="1048" w:type="pct"/>
            <w:tcBorders>
              <w:bottom w:val="single" w:sz="4" w:space="0" w:color="auto"/>
            </w:tcBorders>
            <w:vAlign w:val="center"/>
          </w:tcPr>
          <w:p w14:paraId="30978C33" w14:textId="77777777" w:rsidR="00603ADE" w:rsidRPr="006C520E" w:rsidRDefault="00603ADE" w:rsidP="009A58A3">
            <w:pPr>
              <w:rPr>
                <w:rFonts w:cs="Times New Roman"/>
                <w:szCs w:val="24"/>
              </w:rPr>
            </w:pPr>
            <w:r w:rsidRPr="006C520E">
              <w:rPr>
                <w:rFonts w:cs="Times New Roman"/>
                <w:szCs w:val="24"/>
              </w:rPr>
              <w:t>0.000002 (0.0001)</w:t>
            </w:r>
          </w:p>
        </w:tc>
        <w:tc>
          <w:tcPr>
            <w:tcW w:w="1048" w:type="pct"/>
            <w:tcBorders>
              <w:bottom w:val="single" w:sz="4" w:space="0" w:color="auto"/>
            </w:tcBorders>
            <w:vAlign w:val="center"/>
          </w:tcPr>
          <w:p w14:paraId="40EA4948" w14:textId="77777777" w:rsidR="00603ADE" w:rsidRPr="006C520E" w:rsidRDefault="00603ADE" w:rsidP="009A58A3">
            <w:pPr>
              <w:rPr>
                <w:rFonts w:cs="Times New Roman"/>
                <w:szCs w:val="24"/>
              </w:rPr>
            </w:pPr>
          </w:p>
        </w:tc>
        <w:tc>
          <w:tcPr>
            <w:tcW w:w="1109" w:type="pct"/>
            <w:tcBorders>
              <w:bottom w:val="single" w:sz="4" w:space="0" w:color="auto"/>
            </w:tcBorders>
            <w:vAlign w:val="center"/>
          </w:tcPr>
          <w:p w14:paraId="770A374E" w14:textId="77777777" w:rsidR="00603ADE" w:rsidRPr="006C520E" w:rsidRDefault="00603ADE" w:rsidP="009A58A3">
            <w:pPr>
              <w:rPr>
                <w:rFonts w:cs="Times New Roman"/>
                <w:szCs w:val="24"/>
              </w:rPr>
            </w:pPr>
          </w:p>
        </w:tc>
        <w:tc>
          <w:tcPr>
            <w:tcW w:w="1045" w:type="pct"/>
            <w:tcBorders>
              <w:bottom w:val="single" w:sz="4" w:space="0" w:color="auto"/>
            </w:tcBorders>
          </w:tcPr>
          <w:p w14:paraId="5DF8979B" w14:textId="77777777" w:rsidR="00603ADE" w:rsidRPr="006C520E" w:rsidRDefault="00603ADE" w:rsidP="009A58A3">
            <w:pPr>
              <w:rPr>
                <w:rFonts w:cs="Times New Roman"/>
                <w:szCs w:val="24"/>
              </w:rPr>
            </w:pPr>
          </w:p>
        </w:tc>
      </w:tr>
      <w:tr w:rsidR="00603ADE" w:rsidRPr="006C520E" w14:paraId="4DC57940" w14:textId="77777777" w:rsidTr="009A58A3">
        <w:tc>
          <w:tcPr>
            <w:tcW w:w="5000" w:type="pct"/>
            <w:gridSpan w:val="5"/>
            <w:tcBorders>
              <w:top w:val="single" w:sz="4" w:space="0" w:color="auto"/>
              <w:bottom w:val="single" w:sz="4" w:space="0" w:color="auto"/>
            </w:tcBorders>
          </w:tcPr>
          <w:p w14:paraId="4D86F72E" w14:textId="77777777" w:rsidR="00603ADE" w:rsidRPr="006C520E" w:rsidRDefault="00603ADE" w:rsidP="009A58A3">
            <w:pPr>
              <w:autoSpaceDE w:val="0"/>
              <w:autoSpaceDN w:val="0"/>
              <w:adjustRightInd w:val="0"/>
              <w:rPr>
                <w:rFonts w:cs="Times New Roman"/>
                <w:szCs w:val="24"/>
              </w:rPr>
            </w:pPr>
            <w:r w:rsidRPr="006C520E">
              <w:rPr>
                <w:rFonts w:cs="Times New Roman"/>
                <w:szCs w:val="24"/>
              </w:rPr>
              <w:t xml:space="preserve">Panel B: Model II – </w:t>
            </w:r>
            <w:proofErr w:type="gramStart"/>
            <w:r w:rsidRPr="006C520E">
              <w:rPr>
                <w:rFonts w:cs="Times New Roman"/>
                <w:szCs w:val="24"/>
              </w:rPr>
              <w:t>ARDL(</w:t>
            </w:r>
            <w:proofErr w:type="gramEnd"/>
            <w:r w:rsidRPr="006C520E">
              <w:rPr>
                <w:rFonts w:cs="Times New Roman"/>
                <w:szCs w:val="24"/>
              </w:rPr>
              <w:t>2,4,4,2,2,0,4,4,2)</w:t>
            </w:r>
          </w:p>
        </w:tc>
      </w:tr>
      <w:tr w:rsidR="00603ADE" w:rsidRPr="006C520E" w14:paraId="4CCC7666" w14:textId="77777777" w:rsidTr="009A58A3">
        <w:tc>
          <w:tcPr>
            <w:tcW w:w="750" w:type="pct"/>
            <w:tcBorders>
              <w:top w:val="single" w:sz="4" w:space="0" w:color="auto"/>
            </w:tcBorders>
          </w:tcPr>
          <w:p w14:paraId="2BC9686A" w14:textId="77777777" w:rsidR="00603ADE" w:rsidRPr="006C520E" w:rsidRDefault="00603ADE" w:rsidP="009A58A3">
            <w:pPr>
              <w:jc w:val="left"/>
              <w:rPr>
                <w:rFonts w:eastAsia="Calibri" w:cs="Times New Roman"/>
                <w:szCs w:val="24"/>
              </w:rPr>
            </w:pPr>
            <m:oMathPara>
              <m:oMathParaPr>
                <m:jc m:val="left"/>
              </m:oMathParaPr>
              <m:oMath>
                <m:r>
                  <w:rPr>
                    <w:rFonts w:ascii="Cambria Math" w:hAnsi="Cambria Math" w:cs="Times New Roman"/>
                    <w:szCs w:val="24"/>
                  </w:rPr>
                  <m:t>∆y</m:t>
                </m:r>
              </m:oMath>
            </m:oMathPara>
          </w:p>
        </w:tc>
        <w:tc>
          <w:tcPr>
            <w:tcW w:w="1048" w:type="pct"/>
            <w:tcBorders>
              <w:top w:val="single" w:sz="4" w:space="0" w:color="auto"/>
            </w:tcBorders>
            <w:vAlign w:val="center"/>
          </w:tcPr>
          <w:p w14:paraId="68B76E04" w14:textId="77777777" w:rsidR="00603ADE" w:rsidRPr="006C520E" w:rsidRDefault="00603ADE" w:rsidP="009A58A3">
            <w:pPr>
              <w:rPr>
                <w:rFonts w:cs="Times New Roman"/>
                <w:szCs w:val="24"/>
              </w:rPr>
            </w:pPr>
          </w:p>
        </w:tc>
        <w:tc>
          <w:tcPr>
            <w:tcW w:w="1048" w:type="pct"/>
            <w:tcBorders>
              <w:top w:val="single" w:sz="4" w:space="0" w:color="auto"/>
            </w:tcBorders>
            <w:vAlign w:val="center"/>
          </w:tcPr>
          <w:p w14:paraId="6004828B" w14:textId="77777777" w:rsidR="00603ADE" w:rsidRPr="006C520E" w:rsidRDefault="00603ADE" w:rsidP="009A58A3">
            <w:pPr>
              <w:rPr>
                <w:rFonts w:cs="Times New Roman"/>
                <w:szCs w:val="24"/>
                <w:vertAlign w:val="superscript"/>
              </w:rPr>
            </w:pPr>
            <w:r w:rsidRPr="006C520E">
              <w:rPr>
                <w:rFonts w:cs="Times New Roman"/>
                <w:szCs w:val="24"/>
              </w:rPr>
              <w:t>0.8325 (</w:t>
            </w:r>
            <w:proofErr w:type="gramStart"/>
            <w:r w:rsidRPr="006C520E">
              <w:rPr>
                <w:rFonts w:cs="Times New Roman"/>
                <w:szCs w:val="24"/>
              </w:rPr>
              <w:t>0.0218)</w:t>
            </w:r>
            <w:r w:rsidRPr="006C520E">
              <w:rPr>
                <w:rFonts w:cs="Times New Roman"/>
                <w:szCs w:val="24"/>
                <w:vertAlign w:val="superscript"/>
              </w:rPr>
              <w:t>*</w:t>
            </w:r>
            <w:proofErr w:type="gramEnd"/>
            <w:r w:rsidRPr="006C520E">
              <w:rPr>
                <w:rFonts w:cs="Times New Roman"/>
                <w:szCs w:val="24"/>
                <w:vertAlign w:val="superscript"/>
              </w:rPr>
              <w:t>**</w:t>
            </w:r>
          </w:p>
        </w:tc>
        <w:tc>
          <w:tcPr>
            <w:tcW w:w="1109" w:type="pct"/>
            <w:tcBorders>
              <w:top w:val="single" w:sz="4" w:space="0" w:color="auto"/>
            </w:tcBorders>
            <w:vAlign w:val="center"/>
          </w:tcPr>
          <w:p w14:paraId="2810E856" w14:textId="77777777" w:rsidR="00603ADE" w:rsidRPr="006C520E" w:rsidRDefault="00603ADE" w:rsidP="009A58A3">
            <w:pPr>
              <w:rPr>
                <w:rFonts w:cs="Times New Roman"/>
                <w:szCs w:val="24"/>
              </w:rPr>
            </w:pPr>
          </w:p>
        </w:tc>
        <w:tc>
          <w:tcPr>
            <w:tcW w:w="1045" w:type="pct"/>
            <w:tcBorders>
              <w:top w:val="single" w:sz="4" w:space="0" w:color="auto"/>
            </w:tcBorders>
          </w:tcPr>
          <w:p w14:paraId="2BADFCEA" w14:textId="77777777" w:rsidR="00603ADE" w:rsidRPr="006C520E" w:rsidRDefault="00603ADE" w:rsidP="009A58A3">
            <w:pPr>
              <w:rPr>
                <w:rFonts w:cs="Times New Roman"/>
                <w:szCs w:val="24"/>
              </w:rPr>
            </w:pPr>
          </w:p>
        </w:tc>
      </w:tr>
      <w:tr w:rsidR="00603ADE" w:rsidRPr="006C520E" w14:paraId="149B7283" w14:textId="77777777" w:rsidTr="009A58A3">
        <w:tc>
          <w:tcPr>
            <w:tcW w:w="750" w:type="pct"/>
          </w:tcPr>
          <w:p w14:paraId="5AE6F547"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m:t>
                </m:r>
              </m:oMath>
            </m:oMathPara>
          </w:p>
        </w:tc>
        <w:tc>
          <w:tcPr>
            <w:tcW w:w="1048" w:type="pct"/>
            <w:vAlign w:val="center"/>
          </w:tcPr>
          <w:p w14:paraId="695C96E8" w14:textId="77777777" w:rsidR="00603ADE" w:rsidRPr="006C520E" w:rsidRDefault="00603ADE" w:rsidP="009A58A3">
            <w:pPr>
              <w:rPr>
                <w:rFonts w:cs="Times New Roman"/>
                <w:szCs w:val="24"/>
                <w:vertAlign w:val="superscript"/>
              </w:rPr>
            </w:pPr>
            <w:r w:rsidRPr="006C520E">
              <w:rPr>
                <w:rFonts w:cs="Times New Roman"/>
                <w:szCs w:val="24"/>
              </w:rPr>
              <w:t>-0.0105 (</w:t>
            </w:r>
            <w:proofErr w:type="gramStart"/>
            <w:r w:rsidRPr="006C520E">
              <w:rPr>
                <w:rFonts w:cs="Times New Roman"/>
                <w:szCs w:val="24"/>
              </w:rPr>
              <w:t>0.004)</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201634A0" w14:textId="77777777" w:rsidR="00603ADE" w:rsidRPr="006C520E" w:rsidRDefault="00603ADE" w:rsidP="009A58A3">
            <w:pPr>
              <w:rPr>
                <w:rFonts w:cs="Times New Roman"/>
                <w:szCs w:val="24"/>
              </w:rPr>
            </w:pPr>
            <w:r w:rsidRPr="006C520E">
              <w:rPr>
                <w:rFonts w:cs="Times New Roman"/>
                <w:szCs w:val="24"/>
              </w:rPr>
              <w:t>0.0069 (0.007)</w:t>
            </w:r>
          </w:p>
        </w:tc>
        <w:tc>
          <w:tcPr>
            <w:tcW w:w="1109" w:type="pct"/>
            <w:vAlign w:val="center"/>
          </w:tcPr>
          <w:p w14:paraId="0EED98A6" w14:textId="77777777" w:rsidR="00603ADE" w:rsidRPr="006C520E" w:rsidRDefault="00603ADE" w:rsidP="009A58A3">
            <w:pPr>
              <w:rPr>
                <w:rFonts w:cs="Times New Roman"/>
                <w:szCs w:val="24"/>
              </w:rPr>
            </w:pPr>
            <w:r w:rsidRPr="006C520E">
              <w:rPr>
                <w:rFonts w:cs="Times New Roman"/>
                <w:szCs w:val="24"/>
              </w:rPr>
              <w:t>0.0045 (0.006)</w:t>
            </w:r>
          </w:p>
        </w:tc>
        <w:tc>
          <w:tcPr>
            <w:tcW w:w="1045" w:type="pct"/>
          </w:tcPr>
          <w:p w14:paraId="4C05C676" w14:textId="77777777" w:rsidR="00603ADE" w:rsidRPr="006C520E" w:rsidRDefault="00603ADE" w:rsidP="009A58A3">
            <w:pPr>
              <w:rPr>
                <w:rFonts w:cs="Times New Roman"/>
                <w:szCs w:val="24"/>
                <w:vertAlign w:val="superscript"/>
              </w:rPr>
            </w:pPr>
            <w:r w:rsidRPr="006C520E">
              <w:rPr>
                <w:rFonts w:cs="Times New Roman"/>
                <w:szCs w:val="24"/>
              </w:rPr>
              <w:t>-0.0117 (</w:t>
            </w:r>
            <w:proofErr w:type="gramStart"/>
            <w:r w:rsidRPr="006C520E">
              <w:rPr>
                <w:rFonts w:cs="Times New Roman"/>
                <w:szCs w:val="24"/>
              </w:rPr>
              <w:t>0.004)</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7AF3A745" w14:textId="77777777" w:rsidTr="009A58A3">
        <w:tc>
          <w:tcPr>
            <w:tcW w:w="750" w:type="pct"/>
          </w:tcPr>
          <w:p w14:paraId="2A84D6AB"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∆(oil×ue)</m:t>
                </m:r>
              </m:oMath>
            </m:oMathPara>
          </w:p>
        </w:tc>
        <w:tc>
          <w:tcPr>
            <w:tcW w:w="1048" w:type="pct"/>
            <w:vAlign w:val="center"/>
          </w:tcPr>
          <w:p w14:paraId="452C381C" w14:textId="77777777" w:rsidR="00603ADE" w:rsidRPr="006C520E" w:rsidRDefault="00603ADE" w:rsidP="009A58A3">
            <w:pPr>
              <w:rPr>
                <w:rFonts w:cs="Times New Roman"/>
                <w:szCs w:val="24"/>
                <w:vertAlign w:val="superscript"/>
              </w:rPr>
            </w:pPr>
            <w:r w:rsidRPr="006C520E">
              <w:rPr>
                <w:rFonts w:cs="Times New Roman"/>
                <w:szCs w:val="24"/>
              </w:rPr>
              <w:t>0.0003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4C7169C8" w14:textId="77777777" w:rsidR="00603ADE" w:rsidRPr="006C520E" w:rsidRDefault="00603ADE" w:rsidP="009A58A3">
            <w:pPr>
              <w:rPr>
                <w:rFonts w:cs="Times New Roman"/>
                <w:szCs w:val="24"/>
              </w:rPr>
            </w:pPr>
            <w:r w:rsidRPr="006C520E">
              <w:rPr>
                <w:rFonts w:cs="Times New Roman"/>
                <w:szCs w:val="24"/>
              </w:rPr>
              <w:t>-0.0002 (0.0001)</w:t>
            </w:r>
          </w:p>
        </w:tc>
        <w:tc>
          <w:tcPr>
            <w:tcW w:w="1109" w:type="pct"/>
            <w:vAlign w:val="center"/>
          </w:tcPr>
          <w:p w14:paraId="35F3EECE" w14:textId="77777777" w:rsidR="00603ADE" w:rsidRPr="006C520E" w:rsidRDefault="00603ADE" w:rsidP="009A58A3">
            <w:pPr>
              <w:rPr>
                <w:rFonts w:cs="Times New Roman"/>
                <w:szCs w:val="24"/>
              </w:rPr>
            </w:pPr>
            <w:r w:rsidRPr="006C520E">
              <w:rPr>
                <w:rFonts w:cs="Times New Roman"/>
                <w:szCs w:val="24"/>
              </w:rPr>
              <w:t>-0.0001 (0.0001)</w:t>
            </w:r>
          </w:p>
        </w:tc>
        <w:tc>
          <w:tcPr>
            <w:tcW w:w="1045" w:type="pct"/>
          </w:tcPr>
          <w:p w14:paraId="6A1D23CF" w14:textId="77777777" w:rsidR="00603ADE" w:rsidRPr="006C520E" w:rsidRDefault="00603ADE" w:rsidP="009A58A3">
            <w:pPr>
              <w:rPr>
                <w:rFonts w:cs="Times New Roman"/>
                <w:szCs w:val="24"/>
                <w:vertAlign w:val="superscript"/>
              </w:rPr>
            </w:pPr>
            <w:r w:rsidRPr="006C520E">
              <w:rPr>
                <w:rFonts w:cs="Times New Roman"/>
                <w:szCs w:val="24"/>
              </w:rPr>
              <w:t>0.0002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08EE2CD8" w14:textId="77777777" w:rsidTr="009A58A3">
        <w:tc>
          <w:tcPr>
            <w:tcW w:w="750" w:type="pct"/>
            <w:vAlign w:val="center"/>
          </w:tcPr>
          <w:p w14:paraId="7064F18F"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debt</m:t>
                </m:r>
              </m:oMath>
            </m:oMathPara>
          </w:p>
        </w:tc>
        <w:tc>
          <w:tcPr>
            <w:tcW w:w="1048" w:type="pct"/>
            <w:vAlign w:val="center"/>
          </w:tcPr>
          <w:p w14:paraId="6B93DF93" w14:textId="77777777" w:rsidR="00603ADE" w:rsidRPr="006C520E" w:rsidRDefault="00603ADE" w:rsidP="009A58A3">
            <w:pPr>
              <w:rPr>
                <w:rFonts w:cs="Times New Roman"/>
                <w:szCs w:val="24"/>
                <w:vertAlign w:val="superscript"/>
              </w:rPr>
            </w:pPr>
            <w:r w:rsidRPr="006C520E">
              <w:rPr>
                <w:rFonts w:cs="Times New Roman"/>
                <w:szCs w:val="24"/>
              </w:rPr>
              <w:t>-0.0015 (</w:t>
            </w:r>
            <w:proofErr w:type="gramStart"/>
            <w:r w:rsidRPr="006C520E">
              <w:rPr>
                <w:rFonts w:cs="Times New Roman"/>
                <w:szCs w:val="24"/>
              </w:rPr>
              <w:t>0.0002)</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22F50882" w14:textId="77777777" w:rsidR="00603ADE" w:rsidRPr="006C520E" w:rsidRDefault="00603ADE" w:rsidP="009A58A3">
            <w:pPr>
              <w:rPr>
                <w:rFonts w:cs="Times New Roman"/>
                <w:szCs w:val="24"/>
                <w:vertAlign w:val="superscript"/>
              </w:rPr>
            </w:pPr>
            <w:r w:rsidRPr="006C520E">
              <w:rPr>
                <w:rFonts w:cs="Times New Roman"/>
                <w:szCs w:val="24"/>
              </w:rPr>
              <w:t>0.0009 (</w:t>
            </w:r>
            <w:proofErr w:type="gramStart"/>
            <w:r w:rsidRPr="006C520E">
              <w:rPr>
                <w:rFonts w:cs="Times New Roman"/>
                <w:szCs w:val="24"/>
              </w:rPr>
              <w:t>0.0002)</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2D5431AE" w14:textId="77777777" w:rsidR="00603ADE" w:rsidRPr="006C520E" w:rsidRDefault="00603ADE" w:rsidP="009A58A3">
            <w:pPr>
              <w:rPr>
                <w:rFonts w:cs="Times New Roman"/>
                <w:szCs w:val="24"/>
              </w:rPr>
            </w:pPr>
          </w:p>
        </w:tc>
        <w:tc>
          <w:tcPr>
            <w:tcW w:w="1045" w:type="pct"/>
          </w:tcPr>
          <w:p w14:paraId="12029A82" w14:textId="77777777" w:rsidR="00603ADE" w:rsidRPr="006C520E" w:rsidRDefault="00603ADE" w:rsidP="009A58A3">
            <w:pPr>
              <w:rPr>
                <w:rFonts w:cs="Times New Roman"/>
                <w:szCs w:val="24"/>
              </w:rPr>
            </w:pPr>
          </w:p>
        </w:tc>
      </w:tr>
      <w:tr w:rsidR="00603ADE" w:rsidRPr="006C520E" w14:paraId="564C12D8" w14:textId="77777777" w:rsidTr="009A58A3">
        <w:tc>
          <w:tcPr>
            <w:tcW w:w="750" w:type="pct"/>
            <w:vAlign w:val="center"/>
          </w:tcPr>
          <w:p w14:paraId="343B161D"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dinv</m:t>
                </m:r>
              </m:oMath>
            </m:oMathPara>
          </w:p>
        </w:tc>
        <w:tc>
          <w:tcPr>
            <w:tcW w:w="1048" w:type="pct"/>
            <w:vAlign w:val="center"/>
          </w:tcPr>
          <w:p w14:paraId="59CC207D" w14:textId="77777777" w:rsidR="00603ADE" w:rsidRPr="006C520E" w:rsidRDefault="00603ADE" w:rsidP="009A58A3">
            <w:pPr>
              <w:rPr>
                <w:rFonts w:cs="Times New Roman"/>
                <w:szCs w:val="24"/>
                <w:vertAlign w:val="superscript"/>
              </w:rPr>
            </w:pPr>
            <w:r w:rsidRPr="006C520E">
              <w:rPr>
                <w:rFonts w:cs="Times New Roman"/>
                <w:szCs w:val="24"/>
              </w:rPr>
              <w:t>0.0088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07073FF8" w14:textId="77777777" w:rsidR="00603ADE" w:rsidRPr="006C520E" w:rsidRDefault="00603ADE" w:rsidP="009A58A3">
            <w:pPr>
              <w:rPr>
                <w:rFonts w:cs="Times New Roman"/>
                <w:szCs w:val="24"/>
                <w:vertAlign w:val="superscript"/>
              </w:rPr>
            </w:pPr>
            <w:r w:rsidRPr="006C520E">
              <w:rPr>
                <w:rFonts w:cs="Times New Roman"/>
                <w:szCs w:val="24"/>
              </w:rPr>
              <w:t>-0.0065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3C2DB76E" w14:textId="77777777" w:rsidR="00603ADE" w:rsidRPr="006C520E" w:rsidRDefault="00603ADE" w:rsidP="009A58A3">
            <w:pPr>
              <w:rPr>
                <w:rFonts w:cs="Times New Roman"/>
                <w:szCs w:val="24"/>
              </w:rPr>
            </w:pPr>
          </w:p>
        </w:tc>
        <w:tc>
          <w:tcPr>
            <w:tcW w:w="1045" w:type="pct"/>
          </w:tcPr>
          <w:p w14:paraId="40E2C27D" w14:textId="77777777" w:rsidR="00603ADE" w:rsidRPr="006C520E" w:rsidRDefault="00603ADE" w:rsidP="009A58A3">
            <w:pPr>
              <w:rPr>
                <w:rFonts w:cs="Times New Roman"/>
                <w:szCs w:val="24"/>
              </w:rPr>
            </w:pPr>
          </w:p>
        </w:tc>
      </w:tr>
      <w:tr w:rsidR="00603ADE" w:rsidRPr="006C520E" w14:paraId="65C88D0F" w14:textId="77777777" w:rsidTr="009A58A3">
        <w:tc>
          <w:tcPr>
            <w:tcW w:w="750" w:type="pct"/>
            <w:vAlign w:val="center"/>
          </w:tcPr>
          <w:p w14:paraId="3F7BD5B7"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fx</m:t>
                </m:r>
              </m:oMath>
            </m:oMathPara>
          </w:p>
        </w:tc>
        <w:tc>
          <w:tcPr>
            <w:tcW w:w="1048" w:type="pct"/>
            <w:vAlign w:val="center"/>
          </w:tcPr>
          <w:p w14:paraId="0CC2A0E1" w14:textId="77777777" w:rsidR="00603ADE" w:rsidRPr="006C520E" w:rsidRDefault="00603ADE" w:rsidP="009A58A3">
            <w:pPr>
              <w:rPr>
                <w:rFonts w:cs="Times New Roman"/>
                <w:szCs w:val="24"/>
                <w:vertAlign w:val="superscript"/>
              </w:rPr>
            </w:pPr>
            <w:r w:rsidRPr="006C520E">
              <w:rPr>
                <w:rFonts w:cs="Times New Roman"/>
                <w:szCs w:val="24"/>
              </w:rPr>
              <w:t>0.0001 (</w:t>
            </w:r>
            <w:proofErr w:type="gramStart"/>
            <w:r w:rsidRPr="006C520E">
              <w:rPr>
                <w:rFonts w:cs="Times New Roman"/>
                <w:szCs w:val="24"/>
              </w:rPr>
              <w:t>0.00002)</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21A29196" w14:textId="77777777" w:rsidR="00603ADE" w:rsidRPr="006C520E" w:rsidRDefault="00603ADE" w:rsidP="009A58A3">
            <w:pPr>
              <w:rPr>
                <w:rFonts w:cs="Times New Roman"/>
                <w:szCs w:val="24"/>
                <w:vertAlign w:val="superscript"/>
              </w:rPr>
            </w:pPr>
            <w:r w:rsidRPr="006C520E">
              <w:rPr>
                <w:rFonts w:cs="Times New Roman"/>
                <w:szCs w:val="24"/>
              </w:rPr>
              <w:t>0.0001 (</w:t>
            </w:r>
            <w:proofErr w:type="gramStart"/>
            <w:r w:rsidRPr="006C520E">
              <w:rPr>
                <w:rFonts w:cs="Times New Roman"/>
                <w:szCs w:val="24"/>
              </w:rPr>
              <w:t>0.00002)</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74B7E3A8" w14:textId="77777777" w:rsidR="00603ADE" w:rsidRPr="006C520E" w:rsidRDefault="00603ADE" w:rsidP="009A58A3">
            <w:pPr>
              <w:rPr>
                <w:rFonts w:cs="Times New Roman"/>
                <w:szCs w:val="24"/>
                <w:vertAlign w:val="superscript"/>
              </w:rPr>
            </w:pPr>
            <w:r w:rsidRPr="006C520E">
              <w:rPr>
                <w:rFonts w:cs="Times New Roman"/>
                <w:szCs w:val="24"/>
              </w:rPr>
              <w:t>0.00008 (</w:t>
            </w:r>
            <w:proofErr w:type="gramStart"/>
            <w:r w:rsidRPr="006C520E">
              <w:rPr>
                <w:rFonts w:cs="Times New Roman"/>
                <w:szCs w:val="24"/>
              </w:rPr>
              <w:t>0.00002)</w:t>
            </w:r>
            <w:r w:rsidRPr="006C520E">
              <w:rPr>
                <w:rFonts w:cs="Times New Roman"/>
                <w:szCs w:val="24"/>
                <w:vertAlign w:val="superscript"/>
              </w:rPr>
              <w:t>*</w:t>
            </w:r>
            <w:proofErr w:type="gramEnd"/>
            <w:r w:rsidRPr="006C520E">
              <w:rPr>
                <w:rFonts w:cs="Times New Roman"/>
                <w:szCs w:val="24"/>
                <w:vertAlign w:val="superscript"/>
              </w:rPr>
              <w:t>**</w:t>
            </w:r>
          </w:p>
        </w:tc>
        <w:tc>
          <w:tcPr>
            <w:tcW w:w="1045" w:type="pct"/>
          </w:tcPr>
          <w:p w14:paraId="4DA59EC3" w14:textId="77777777" w:rsidR="00603ADE" w:rsidRPr="006C520E" w:rsidRDefault="00603ADE" w:rsidP="009A58A3">
            <w:pPr>
              <w:rPr>
                <w:rFonts w:cs="Times New Roman"/>
                <w:szCs w:val="24"/>
                <w:vertAlign w:val="superscript"/>
              </w:rPr>
            </w:pPr>
            <w:r w:rsidRPr="006C520E">
              <w:rPr>
                <w:rFonts w:cs="Times New Roman"/>
                <w:szCs w:val="24"/>
              </w:rPr>
              <w:t>0.00004 (</w:t>
            </w:r>
            <w:proofErr w:type="gramStart"/>
            <w:r w:rsidRPr="006C520E">
              <w:rPr>
                <w:rFonts w:cs="Times New Roman"/>
                <w:szCs w:val="24"/>
              </w:rPr>
              <w:t>0.00002)</w:t>
            </w:r>
            <w:r w:rsidRPr="006C520E">
              <w:rPr>
                <w:rFonts w:cs="Times New Roman"/>
                <w:szCs w:val="24"/>
                <w:vertAlign w:val="superscript"/>
              </w:rPr>
              <w:t>*</w:t>
            </w:r>
            <w:proofErr w:type="gramEnd"/>
          </w:p>
        </w:tc>
      </w:tr>
      <w:tr w:rsidR="00603ADE" w:rsidRPr="006C520E" w14:paraId="1EE65B41" w14:textId="77777777" w:rsidTr="009A58A3">
        <w:tc>
          <w:tcPr>
            <w:tcW w:w="750" w:type="pct"/>
            <w:vAlign w:val="center"/>
          </w:tcPr>
          <w:p w14:paraId="59D859B4"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fbal</m:t>
                </m:r>
              </m:oMath>
            </m:oMathPara>
          </w:p>
        </w:tc>
        <w:tc>
          <w:tcPr>
            <w:tcW w:w="1048" w:type="pct"/>
            <w:vAlign w:val="center"/>
          </w:tcPr>
          <w:p w14:paraId="5BF645C0" w14:textId="77777777" w:rsidR="00603ADE" w:rsidRPr="006C520E" w:rsidRDefault="00603ADE" w:rsidP="009A58A3">
            <w:pPr>
              <w:rPr>
                <w:rFonts w:cs="Times New Roman"/>
                <w:szCs w:val="24"/>
              </w:rPr>
            </w:pPr>
            <w:r w:rsidRPr="006C520E">
              <w:rPr>
                <w:rFonts w:cs="Times New Roman"/>
                <w:szCs w:val="24"/>
              </w:rPr>
              <w:t>0.0021 (</w:t>
            </w:r>
            <w:proofErr w:type="gramStart"/>
            <w:r w:rsidRPr="006C520E">
              <w:rPr>
                <w:rFonts w:cs="Times New Roman"/>
                <w:szCs w:val="24"/>
              </w:rPr>
              <w:t>0.0003)</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11DEBE27" w14:textId="77777777" w:rsidR="00603ADE" w:rsidRPr="006C520E" w:rsidRDefault="00603ADE" w:rsidP="009A58A3">
            <w:pPr>
              <w:rPr>
                <w:rFonts w:cs="Times New Roman"/>
                <w:szCs w:val="24"/>
                <w:vertAlign w:val="superscript"/>
              </w:rPr>
            </w:pPr>
            <w:r w:rsidRPr="006C520E">
              <w:rPr>
                <w:rFonts w:cs="Times New Roman"/>
                <w:szCs w:val="24"/>
              </w:rPr>
              <w:t>-0.0022 (</w:t>
            </w:r>
            <w:proofErr w:type="gramStart"/>
            <w:r w:rsidRPr="006C520E">
              <w:rPr>
                <w:rFonts w:cs="Times New Roman"/>
                <w:szCs w:val="24"/>
              </w:rPr>
              <w:t>0.0003)</w:t>
            </w:r>
            <w:r w:rsidRPr="006C520E">
              <w:rPr>
                <w:rFonts w:cs="Times New Roman"/>
                <w:szCs w:val="24"/>
                <w:vertAlign w:val="superscript"/>
              </w:rPr>
              <w:t>*</w:t>
            </w:r>
            <w:proofErr w:type="gramEnd"/>
            <w:r w:rsidRPr="006C520E">
              <w:rPr>
                <w:rFonts w:cs="Times New Roman"/>
                <w:szCs w:val="24"/>
                <w:vertAlign w:val="superscript"/>
              </w:rPr>
              <w:t>**</w:t>
            </w:r>
          </w:p>
        </w:tc>
        <w:tc>
          <w:tcPr>
            <w:tcW w:w="1109" w:type="pct"/>
            <w:vAlign w:val="center"/>
          </w:tcPr>
          <w:p w14:paraId="2931AB1F" w14:textId="77777777" w:rsidR="00603ADE" w:rsidRPr="006C520E" w:rsidRDefault="00603ADE" w:rsidP="009A58A3">
            <w:pPr>
              <w:rPr>
                <w:rFonts w:cs="Times New Roman"/>
                <w:szCs w:val="24"/>
              </w:rPr>
            </w:pPr>
          </w:p>
        </w:tc>
        <w:tc>
          <w:tcPr>
            <w:tcW w:w="1045" w:type="pct"/>
          </w:tcPr>
          <w:p w14:paraId="717E8CA4" w14:textId="77777777" w:rsidR="00603ADE" w:rsidRPr="006C520E" w:rsidRDefault="00603ADE" w:rsidP="009A58A3">
            <w:pPr>
              <w:rPr>
                <w:rFonts w:cs="Times New Roman"/>
                <w:szCs w:val="24"/>
              </w:rPr>
            </w:pPr>
          </w:p>
        </w:tc>
      </w:tr>
      <w:tr w:rsidR="00603ADE" w:rsidRPr="006C520E" w14:paraId="6C66F287" w14:textId="77777777" w:rsidTr="009A58A3">
        <w:tc>
          <w:tcPr>
            <w:tcW w:w="750" w:type="pct"/>
            <w:tcBorders>
              <w:bottom w:val="single" w:sz="4" w:space="0" w:color="auto"/>
            </w:tcBorders>
            <w:vAlign w:val="center"/>
          </w:tcPr>
          <w:p w14:paraId="064780D8"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p</m:t>
                </m:r>
              </m:oMath>
            </m:oMathPara>
          </w:p>
        </w:tc>
        <w:tc>
          <w:tcPr>
            <w:tcW w:w="1048" w:type="pct"/>
            <w:tcBorders>
              <w:bottom w:val="single" w:sz="4" w:space="0" w:color="auto"/>
            </w:tcBorders>
            <w:vAlign w:val="center"/>
          </w:tcPr>
          <w:p w14:paraId="002682BD" w14:textId="77777777" w:rsidR="00603ADE" w:rsidRPr="006C520E" w:rsidRDefault="00603ADE" w:rsidP="009A58A3">
            <w:pPr>
              <w:rPr>
                <w:rFonts w:cs="Times New Roman"/>
                <w:szCs w:val="24"/>
                <w:vertAlign w:val="superscript"/>
              </w:rPr>
            </w:pPr>
            <w:r w:rsidRPr="006C520E">
              <w:rPr>
                <w:rFonts w:cs="Times New Roman"/>
                <w:szCs w:val="24"/>
              </w:rPr>
              <w:t>-0.0002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tcBorders>
              <w:bottom w:val="single" w:sz="4" w:space="0" w:color="auto"/>
            </w:tcBorders>
            <w:vAlign w:val="center"/>
          </w:tcPr>
          <w:p w14:paraId="60723CD6" w14:textId="77777777" w:rsidR="00603ADE" w:rsidRPr="006C520E" w:rsidRDefault="00603ADE" w:rsidP="009A58A3">
            <w:pPr>
              <w:rPr>
                <w:rFonts w:cs="Times New Roman"/>
                <w:szCs w:val="24"/>
                <w:vertAlign w:val="superscript"/>
              </w:rPr>
            </w:pPr>
            <w:r w:rsidRPr="006C520E">
              <w:rPr>
                <w:rFonts w:cs="Times New Roman"/>
                <w:szCs w:val="24"/>
              </w:rPr>
              <w:t>-0.0005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c>
          <w:tcPr>
            <w:tcW w:w="1109" w:type="pct"/>
            <w:tcBorders>
              <w:bottom w:val="single" w:sz="4" w:space="0" w:color="auto"/>
            </w:tcBorders>
            <w:vAlign w:val="center"/>
          </w:tcPr>
          <w:p w14:paraId="1994D615" w14:textId="77777777" w:rsidR="00603ADE" w:rsidRPr="006C520E" w:rsidRDefault="00603ADE" w:rsidP="009A58A3">
            <w:pPr>
              <w:rPr>
                <w:rFonts w:cs="Times New Roman"/>
                <w:szCs w:val="24"/>
                <w:vertAlign w:val="superscript"/>
              </w:rPr>
            </w:pPr>
            <w:r w:rsidRPr="006C520E">
              <w:rPr>
                <w:rFonts w:cs="Times New Roman"/>
                <w:szCs w:val="24"/>
              </w:rPr>
              <w:t>-0.0005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c>
          <w:tcPr>
            <w:tcW w:w="1045" w:type="pct"/>
            <w:tcBorders>
              <w:bottom w:val="single" w:sz="4" w:space="0" w:color="auto"/>
            </w:tcBorders>
          </w:tcPr>
          <w:p w14:paraId="7DE59A8C" w14:textId="77777777" w:rsidR="00603ADE" w:rsidRPr="006C520E" w:rsidRDefault="00603ADE" w:rsidP="009A58A3">
            <w:pPr>
              <w:rPr>
                <w:rFonts w:cs="Times New Roman"/>
                <w:szCs w:val="24"/>
                <w:vertAlign w:val="superscript"/>
              </w:rPr>
            </w:pPr>
            <w:r w:rsidRPr="006C520E">
              <w:rPr>
                <w:rFonts w:cs="Times New Roman"/>
                <w:szCs w:val="24"/>
              </w:rPr>
              <w:t>-0.0002 (</w:t>
            </w:r>
            <w:proofErr w:type="gramStart"/>
            <w:r w:rsidRPr="006C520E">
              <w:rPr>
                <w:rFonts w:cs="Times New Roman"/>
                <w:szCs w:val="24"/>
              </w:rPr>
              <w:t>0.0001)</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10ADB088" w14:textId="77777777" w:rsidTr="009A58A3">
        <w:tc>
          <w:tcPr>
            <w:tcW w:w="5000" w:type="pct"/>
            <w:gridSpan w:val="5"/>
            <w:tcBorders>
              <w:top w:val="single" w:sz="4" w:space="0" w:color="auto"/>
              <w:bottom w:val="single" w:sz="4" w:space="0" w:color="auto"/>
            </w:tcBorders>
          </w:tcPr>
          <w:p w14:paraId="4473270B" w14:textId="77777777" w:rsidR="00603ADE" w:rsidRPr="006C520E" w:rsidRDefault="00603ADE" w:rsidP="009A58A3">
            <w:pPr>
              <w:jc w:val="left"/>
              <w:rPr>
                <w:rFonts w:cs="Times New Roman"/>
                <w:szCs w:val="24"/>
              </w:rPr>
            </w:pPr>
            <w:r w:rsidRPr="006C520E">
              <w:rPr>
                <w:rFonts w:cs="Times New Roman"/>
                <w:szCs w:val="24"/>
              </w:rPr>
              <w:t xml:space="preserve">Panel C: Model III – </w:t>
            </w:r>
            <w:proofErr w:type="gramStart"/>
            <w:r w:rsidRPr="006C520E">
              <w:rPr>
                <w:rFonts w:cs="Times New Roman"/>
                <w:szCs w:val="24"/>
              </w:rPr>
              <w:t>ARDL(</w:t>
            </w:r>
            <w:proofErr w:type="gramEnd"/>
            <w:r w:rsidRPr="006C520E">
              <w:rPr>
                <w:rFonts w:cs="Times New Roman"/>
                <w:szCs w:val="24"/>
              </w:rPr>
              <w:t>1,1,1,1,1,0,1,4,2,4)</w:t>
            </w:r>
          </w:p>
        </w:tc>
      </w:tr>
      <w:tr w:rsidR="00603ADE" w:rsidRPr="006C520E" w14:paraId="3E39F329" w14:textId="77777777" w:rsidTr="009A58A3">
        <w:tc>
          <w:tcPr>
            <w:tcW w:w="750" w:type="pct"/>
            <w:tcBorders>
              <w:top w:val="single" w:sz="4" w:space="0" w:color="auto"/>
            </w:tcBorders>
          </w:tcPr>
          <w:p w14:paraId="725A1B95"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m:t>
                </m:r>
              </m:oMath>
            </m:oMathPara>
          </w:p>
        </w:tc>
        <w:tc>
          <w:tcPr>
            <w:tcW w:w="1048" w:type="pct"/>
            <w:tcBorders>
              <w:top w:val="single" w:sz="4" w:space="0" w:color="auto"/>
            </w:tcBorders>
            <w:vAlign w:val="center"/>
          </w:tcPr>
          <w:p w14:paraId="05E11C97" w14:textId="77777777" w:rsidR="00603ADE" w:rsidRPr="006C520E" w:rsidRDefault="00603ADE" w:rsidP="009A58A3">
            <w:pPr>
              <w:rPr>
                <w:rFonts w:cs="Times New Roman"/>
                <w:szCs w:val="24"/>
              </w:rPr>
            </w:pPr>
            <w:r w:rsidRPr="006C520E">
              <w:rPr>
                <w:rFonts w:cs="Times New Roman"/>
                <w:szCs w:val="24"/>
              </w:rPr>
              <w:t>0.0012 (0.002)</w:t>
            </w:r>
          </w:p>
        </w:tc>
        <w:tc>
          <w:tcPr>
            <w:tcW w:w="1048" w:type="pct"/>
            <w:tcBorders>
              <w:top w:val="single" w:sz="4" w:space="0" w:color="auto"/>
            </w:tcBorders>
            <w:vAlign w:val="center"/>
          </w:tcPr>
          <w:p w14:paraId="28129144" w14:textId="77777777" w:rsidR="00603ADE" w:rsidRPr="006C520E" w:rsidRDefault="00603ADE" w:rsidP="009A58A3">
            <w:pPr>
              <w:rPr>
                <w:rFonts w:cs="Times New Roman"/>
                <w:szCs w:val="24"/>
              </w:rPr>
            </w:pPr>
            <w:r w:rsidRPr="006C520E">
              <w:rPr>
                <w:rFonts w:cs="Times New Roman"/>
                <w:szCs w:val="24"/>
              </w:rPr>
              <w:t>-0.0006 (0.003)</w:t>
            </w:r>
          </w:p>
        </w:tc>
        <w:tc>
          <w:tcPr>
            <w:tcW w:w="1109" w:type="pct"/>
            <w:tcBorders>
              <w:top w:val="single" w:sz="4" w:space="0" w:color="auto"/>
            </w:tcBorders>
            <w:vAlign w:val="center"/>
          </w:tcPr>
          <w:p w14:paraId="6B5BB152" w14:textId="77777777" w:rsidR="00603ADE" w:rsidRPr="006C520E" w:rsidRDefault="00603ADE" w:rsidP="009A58A3">
            <w:pPr>
              <w:rPr>
                <w:rFonts w:cs="Times New Roman"/>
                <w:szCs w:val="24"/>
              </w:rPr>
            </w:pPr>
            <w:r w:rsidRPr="006C520E">
              <w:rPr>
                <w:rFonts w:cs="Times New Roman"/>
                <w:szCs w:val="24"/>
              </w:rPr>
              <w:t>0.0009 (0.002)</w:t>
            </w:r>
          </w:p>
        </w:tc>
        <w:tc>
          <w:tcPr>
            <w:tcW w:w="1045" w:type="pct"/>
            <w:tcBorders>
              <w:top w:val="single" w:sz="4" w:space="0" w:color="auto"/>
            </w:tcBorders>
          </w:tcPr>
          <w:p w14:paraId="37AE8BE7" w14:textId="77777777" w:rsidR="00603ADE" w:rsidRPr="006C520E" w:rsidRDefault="00603ADE" w:rsidP="009A58A3">
            <w:pPr>
              <w:rPr>
                <w:rFonts w:cs="Times New Roman"/>
                <w:szCs w:val="24"/>
                <w:vertAlign w:val="superscript"/>
              </w:rPr>
            </w:pPr>
            <w:r w:rsidRPr="006C520E">
              <w:rPr>
                <w:rFonts w:cs="Times New Roman"/>
                <w:szCs w:val="24"/>
              </w:rPr>
              <w:t>-0.0038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r>
      <w:tr w:rsidR="00603ADE" w:rsidRPr="006C520E" w14:paraId="0EDFB9EE" w14:textId="77777777" w:rsidTr="009A58A3">
        <w:tc>
          <w:tcPr>
            <w:tcW w:w="750" w:type="pct"/>
          </w:tcPr>
          <w:p w14:paraId="5032485B" w14:textId="0EB88033"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∆ue</m:t>
                </m:r>
              </m:oMath>
            </m:oMathPara>
          </w:p>
        </w:tc>
        <w:tc>
          <w:tcPr>
            <w:tcW w:w="1048" w:type="pct"/>
            <w:vAlign w:val="center"/>
          </w:tcPr>
          <w:p w14:paraId="340EAA72" w14:textId="77777777" w:rsidR="00603ADE" w:rsidRPr="006C520E" w:rsidRDefault="00603ADE" w:rsidP="009A58A3">
            <w:pPr>
              <w:rPr>
                <w:rFonts w:cs="Times New Roman"/>
                <w:szCs w:val="24"/>
              </w:rPr>
            </w:pPr>
            <w:r w:rsidRPr="006C520E">
              <w:rPr>
                <w:rFonts w:cs="Times New Roman"/>
                <w:szCs w:val="24"/>
              </w:rPr>
              <w:t>0.0017 (0.002)</w:t>
            </w:r>
          </w:p>
        </w:tc>
        <w:tc>
          <w:tcPr>
            <w:tcW w:w="1048" w:type="pct"/>
            <w:vAlign w:val="center"/>
          </w:tcPr>
          <w:p w14:paraId="31AD93A8" w14:textId="77777777" w:rsidR="00603ADE" w:rsidRPr="006C520E" w:rsidRDefault="00603ADE" w:rsidP="009A58A3">
            <w:pPr>
              <w:rPr>
                <w:rFonts w:cs="Times New Roman"/>
                <w:szCs w:val="24"/>
              </w:rPr>
            </w:pPr>
            <w:r w:rsidRPr="006C520E">
              <w:rPr>
                <w:rFonts w:cs="Times New Roman"/>
                <w:szCs w:val="24"/>
              </w:rPr>
              <w:t>0.0004 (0.002)</w:t>
            </w:r>
          </w:p>
        </w:tc>
        <w:tc>
          <w:tcPr>
            <w:tcW w:w="1109" w:type="pct"/>
            <w:vAlign w:val="center"/>
          </w:tcPr>
          <w:p w14:paraId="6B066F5E" w14:textId="77777777" w:rsidR="00603ADE" w:rsidRPr="006C520E" w:rsidRDefault="00603ADE" w:rsidP="009A58A3">
            <w:pPr>
              <w:rPr>
                <w:rFonts w:cs="Times New Roman"/>
                <w:szCs w:val="24"/>
              </w:rPr>
            </w:pPr>
          </w:p>
        </w:tc>
        <w:tc>
          <w:tcPr>
            <w:tcW w:w="1045" w:type="pct"/>
          </w:tcPr>
          <w:p w14:paraId="70EB5318" w14:textId="77777777" w:rsidR="00603ADE" w:rsidRPr="006C520E" w:rsidRDefault="00603ADE" w:rsidP="009A58A3">
            <w:pPr>
              <w:rPr>
                <w:rFonts w:cs="Times New Roman"/>
                <w:szCs w:val="24"/>
              </w:rPr>
            </w:pPr>
          </w:p>
        </w:tc>
      </w:tr>
      <w:tr w:rsidR="00603ADE" w:rsidRPr="006C520E" w14:paraId="0322BCD9" w14:textId="77777777" w:rsidTr="009A58A3">
        <w:tc>
          <w:tcPr>
            <w:tcW w:w="750" w:type="pct"/>
          </w:tcPr>
          <w:p w14:paraId="37EC9CD4" w14:textId="3FAB73B0"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∆(oil×ue)</m:t>
                </m:r>
              </m:oMath>
            </m:oMathPara>
          </w:p>
        </w:tc>
        <w:tc>
          <w:tcPr>
            <w:tcW w:w="1048" w:type="pct"/>
            <w:vAlign w:val="center"/>
          </w:tcPr>
          <w:p w14:paraId="0B4941CB" w14:textId="77777777" w:rsidR="00603ADE" w:rsidRPr="006C520E" w:rsidRDefault="00603ADE" w:rsidP="009A58A3">
            <w:pPr>
              <w:rPr>
                <w:rFonts w:cs="Times New Roman"/>
                <w:szCs w:val="24"/>
                <w:vertAlign w:val="superscript"/>
              </w:rPr>
            </w:pPr>
            <w:r w:rsidRPr="006C520E">
              <w:rPr>
                <w:rFonts w:cs="Times New Roman"/>
                <w:szCs w:val="24"/>
              </w:rPr>
              <w:t>0.0004 (</w:t>
            </w:r>
            <w:proofErr w:type="gramStart"/>
            <w:r w:rsidRPr="006C520E">
              <w:rPr>
                <w:rFonts w:cs="Times New Roman"/>
                <w:szCs w:val="24"/>
              </w:rPr>
              <w:t>0.0003)</w:t>
            </w:r>
            <w:r w:rsidRPr="006C520E">
              <w:rPr>
                <w:rFonts w:cs="Times New Roman"/>
                <w:szCs w:val="24"/>
                <w:vertAlign w:val="superscript"/>
              </w:rPr>
              <w:t>*</w:t>
            </w:r>
            <w:proofErr w:type="gramEnd"/>
          </w:p>
        </w:tc>
        <w:tc>
          <w:tcPr>
            <w:tcW w:w="1048" w:type="pct"/>
            <w:vAlign w:val="center"/>
          </w:tcPr>
          <w:p w14:paraId="146DB4E2" w14:textId="77777777" w:rsidR="00603ADE" w:rsidRPr="006C520E" w:rsidRDefault="00603ADE" w:rsidP="009A58A3">
            <w:pPr>
              <w:rPr>
                <w:rFonts w:cs="Times New Roman"/>
                <w:szCs w:val="24"/>
              </w:rPr>
            </w:pPr>
            <w:r w:rsidRPr="006C520E">
              <w:rPr>
                <w:rFonts w:cs="Times New Roman"/>
                <w:szCs w:val="24"/>
              </w:rPr>
              <w:t>0.00001 (0.0004)</w:t>
            </w:r>
          </w:p>
        </w:tc>
        <w:tc>
          <w:tcPr>
            <w:tcW w:w="1109" w:type="pct"/>
            <w:vAlign w:val="center"/>
          </w:tcPr>
          <w:p w14:paraId="4FC0F50D" w14:textId="77777777" w:rsidR="00603ADE" w:rsidRPr="006C520E" w:rsidRDefault="00603ADE" w:rsidP="009A58A3">
            <w:pPr>
              <w:rPr>
                <w:rFonts w:cs="Times New Roman"/>
                <w:szCs w:val="24"/>
              </w:rPr>
            </w:pPr>
            <w:r w:rsidRPr="006C520E">
              <w:rPr>
                <w:rFonts w:cs="Times New Roman"/>
                <w:szCs w:val="24"/>
              </w:rPr>
              <w:t>0.0001 (0.0004)</w:t>
            </w:r>
          </w:p>
        </w:tc>
        <w:tc>
          <w:tcPr>
            <w:tcW w:w="1045" w:type="pct"/>
          </w:tcPr>
          <w:p w14:paraId="3885E158" w14:textId="77777777" w:rsidR="00603ADE" w:rsidRPr="006C520E" w:rsidRDefault="00603ADE" w:rsidP="009A58A3">
            <w:pPr>
              <w:rPr>
                <w:rFonts w:cs="Times New Roman"/>
                <w:szCs w:val="24"/>
                <w:vertAlign w:val="superscript"/>
              </w:rPr>
            </w:pPr>
            <w:r w:rsidRPr="006C520E">
              <w:rPr>
                <w:rFonts w:cs="Times New Roman"/>
                <w:szCs w:val="24"/>
              </w:rPr>
              <w:t>0.0004 (</w:t>
            </w:r>
            <w:proofErr w:type="gramStart"/>
            <w:r w:rsidRPr="006C520E">
              <w:rPr>
                <w:rFonts w:cs="Times New Roman"/>
                <w:szCs w:val="24"/>
              </w:rPr>
              <w:t>0.0003)</w:t>
            </w:r>
            <w:r w:rsidRPr="006C520E">
              <w:rPr>
                <w:rFonts w:cs="Times New Roman"/>
                <w:szCs w:val="24"/>
                <w:vertAlign w:val="superscript"/>
              </w:rPr>
              <w:t>*</w:t>
            </w:r>
            <w:proofErr w:type="gramEnd"/>
          </w:p>
        </w:tc>
      </w:tr>
      <w:tr w:rsidR="00603ADE" w:rsidRPr="006C520E" w14:paraId="7C0ADC09" w14:textId="77777777" w:rsidTr="009A58A3">
        <w:tc>
          <w:tcPr>
            <w:tcW w:w="750" w:type="pct"/>
            <w:vAlign w:val="center"/>
          </w:tcPr>
          <w:p w14:paraId="66B37612"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debt</m:t>
                </m:r>
              </m:oMath>
            </m:oMathPara>
          </w:p>
        </w:tc>
        <w:tc>
          <w:tcPr>
            <w:tcW w:w="1048" w:type="pct"/>
            <w:vAlign w:val="center"/>
          </w:tcPr>
          <w:p w14:paraId="0DC574F3" w14:textId="77777777" w:rsidR="00603ADE" w:rsidRPr="006C520E" w:rsidRDefault="00603ADE" w:rsidP="009A58A3">
            <w:pPr>
              <w:rPr>
                <w:rFonts w:cs="Times New Roman"/>
                <w:szCs w:val="24"/>
              </w:rPr>
            </w:pPr>
            <w:r w:rsidRPr="006C520E">
              <w:rPr>
                <w:rFonts w:cs="Times New Roman"/>
                <w:szCs w:val="24"/>
              </w:rPr>
              <w:t>-0.0012 (</w:t>
            </w:r>
            <w:proofErr w:type="gramStart"/>
            <w:r w:rsidRPr="006C520E">
              <w:rPr>
                <w:rFonts w:cs="Times New Roman"/>
                <w:szCs w:val="24"/>
              </w:rPr>
              <w:t>0.0002)</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6B2441AD" w14:textId="77777777" w:rsidR="00603ADE" w:rsidRPr="006C520E" w:rsidRDefault="00603ADE" w:rsidP="009A58A3">
            <w:pPr>
              <w:rPr>
                <w:rFonts w:cs="Times New Roman"/>
                <w:szCs w:val="24"/>
              </w:rPr>
            </w:pPr>
          </w:p>
        </w:tc>
        <w:tc>
          <w:tcPr>
            <w:tcW w:w="1109" w:type="pct"/>
            <w:vAlign w:val="center"/>
          </w:tcPr>
          <w:p w14:paraId="68F87AEA" w14:textId="77777777" w:rsidR="00603ADE" w:rsidRPr="006C520E" w:rsidRDefault="00603ADE" w:rsidP="009A58A3">
            <w:pPr>
              <w:rPr>
                <w:rFonts w:cs="Times New Roman"/>
                <w:szCs w:val="24"/>
              </w:rPr>
            </w:pPr>
          </w:p>
        </w:tc>
        <w:tc>
          <w:tcPr>
            <w:tcW w:w="1045" w:type="pct"/>
          </w:tcPr>
          <w:p w14:paraId="1F904098" w14:textId="77777777" w:rsidR="00603ADE" w:rsidRPr="006C520E" w:rsidRDefault="00603ADE" w:rsidP="009A58A3">
            <w:pPr>
              <w:rPr>
                <w:rFonts w:cs="Times New Roman"/>
                <w:szCs w:val="24"/>
              </w:rPr>
            </w:pPr>
          </w:p>
        </w:tc>
      </w:tr>
      <w:tr w:rsidR="00603ADE" w:rsidRPr="006C520E" w14:paraId="50BCBFBB" w14:textId="77777777" w:rsidTr="009A58A3">
        <w:tc>
          <w:tcPr>
            <w:tcW w:w="750" w:type="pct"/>
            <w:vAlign w:val="center"/>
          </w:tcPr>
          <w:p w14:paraId="47A836C9" w14:textId="77777777" w:rsidR="00603ADE" w:rsidRPr="006C520E" w:rsidRDefault="00603ADE" w:rsidP="009A58A3">
            <w:pPr>
              <w:rPr>
                <w:rFonts w:cs="Times New Roman"/>
                <w:szCs w:val="24"/>
              </w:rPr>
            </w:pPr>
            <m:oMathPara>
              <m:oMathParaPr>
                <m:jc m:val="left"/>
              </m:oMathParaPr>
              <m:oMath>
                <m:r>
                  <w:rPr>
                    <w:rFonts w:ascii="Cambria Math" w:hAnsi="Cambria Math" w:cs="Times New Roman"/>
                    <w:szCs w:val="24"/>
                  </w:rPr>
                  <m:t>∆</m:t>
                </m:r>
                <m:r>
                  <w:rPr>
                    <w:rFonts w:ascii="Cambria Math" w:hAnsi="Cambria Math"/>
                  </w:rPr>
                  <m:t>dinv</m:t>
                </m:r>
              </m:oMath>
            </m:oMathPara>
          </w:p>
        </w:tc>
        <w:tc>
          <w:tcPr>
            <w:tcW w:w="1048" w:type="pct"/>
            <w:vAlign w:val="center"/>
          </w:tcPr>
          <w:p w14:paraId="1B4A9E0E" w14:textId="77777777" w:rsidR="00603ADE" w:rsidRPr="006C520E" w:rsidRDefault="00603ADE" w:rsidP="009A58A3">
            <w:pPr>
              <w:rPr>
                <w:rFonts w:cs="Times New Roman"/>
                <w:szCs w:val="24"/>
              </w:rPr>
            </w:pPr>
            <w:r w:rsidRPr="006C520E">
              <w:rPr>
                <w:rFonts w:cs="Times New Roman"/>
                <w:szCs w:val="24"/>
              </w:rPr>
              <w:t>0.0027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189E3B2E" w14:textId="77777777" w:rsidR="00603ADE" w:rsidRPr="006C520E" w:rsidRDefault="00603ADE" w:rsidP="009A58A3">
            <w:pPr>
              <w:rPr>
                <w:rFonts w:cs="Times New Roman"/>
                <w:szCs w:val="24"/>
              </w:rPr>
            </w:pPr>
          </w:p>
        </w:tc>
        <w:tc>
          <w:tcPr>
            <w:tcW w:w="1109" w:type="pct"/>
            <w:vAlign w:val="center"/>
          </w:tcPr>
          <w:p w14:paraId="0951211E" w14:textId="77777777" w:rsidR="00603ADE" w:rsidRPr="006C520E" w:rsidRDefault="00603ADE" w:rsidP="009A58A3">
            <w:pPr>
              <w:rPr>
                <w:rFonts w:cs="Times New Roman"/>
                <w:szCs w:val="24"/>
              </w:rPr>
            </w:pPr>
          </w:p>
        </w:tc>
        <w:tc>
          <w:tcPr>
            <w:tcW w:w="1045" w:type="pct"/>
          </w:tcPr>
          <w:p w14:paraId="0870215E" w14:textId="77777777" w:rsidR="00603ADE" w:rsidRPr="006C520E" w:rsidRDefault="00603ADE" w:rsidP="009A58A3">
            <w:pPr>
              <w:rPr>
                <w:rFonts w:cs="Times New Roman"/>
                <w:szCs w:val="24"/>
              </w:rPr>
            </w:pPr>
          </w:p>
        </w:tc>
      </w:tr>
      <w:tr w:rsidR="00603ADE" w:rsidRPr="006C520E" w14:paraId="689BAFDC" w14:textId="77777777" w:rsidTr="009A58A3">
        <w:tc>
          <w:tcPr>
            <w:tcW w:w="750" w:type="pct"/>
            <w:vAlign w:val="center"/>
          </w:tcPr>
          <w:p w14:paraId="741445B1"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elec</m:t>
                </m:r>
              </m:oMath>
            </m:oMathPara>
          </w:p>
        </w:tc>
        <w:tc>
          <w:tcPr>
            <w:tcW w:w="1048" w:type="pct"/>
            <w:vAlign w:val="center"/>
          </w:tcPr>
          <w:p w14:paraId="48C2928F" w14:textId="77777777" w:rsidR="00603ADE" w:rsidRPr="006C520E" w:rsidRDefault="00603ADE" w:rsidP="009A58A3">
            <w:pPr>
              <w:rPr>
                <w:rFonts w:cs="Times New Roman"/>
                <w:szCs w:val="24"/>
              </w:rPr>
            </w:pPr>
            <w:r w:rsidRPr="006C520E">
              <w:rPr>
                <w:rFonts w:cs="Times New Roman"/>
                <w:szCs w:val="24"/>
              </w:rPr>
              <w:t>0.0005 (0.001)</w:t>
            </w:r>
          </w:p>
        </w:tc>
        <w:tc>
          <w:tcPr>
            <w:tcW w:w="1048" w:type="pct"/>
            <w:vAlign w:val="center"/>
          </w:tcPr>
          <w:p w14:paraId="6B7D4A25" w14:textId="77777777" w:rsidR="00603ADE" w:rsidRPr="006C520E" w:rsidRDefault="00603ADE" w:rsidP="009A58A3">
            <w:pPr>
              <w:rPr>
                <w:rFonts w:cs="Times New Roman"/>
                <w:szCs w:val="24"/>
              </w:rPr>
            </w:pPr>
          </w:p>
        </w:tc>
        <w:tc>
          <w:tcPr>
            <w:tcW w:w="1109" w:type="pct"/>
            <w:vAlign w:val="center"/>
          </w:tcPr>
          <w:p w14:paraId="4092513F" w14:textId="77777777" w:rsidR="00603ADE" w:rsidRPr="006C520E" w:rsidRDefault="00603ADE" w:rsidP="009A58A3">
            <w:pPr>
              <w:rPr>
                <w:rFonts w:cs="Times New Roman"/>
                <w:szCs w:val="24"/>
              </w:rPr>
            </w:pPr>
          </w:p>
        </w:tc>
        <w:tc>
          <w:tcPr>
            <w:tcW w:w="1045" w:type="pct"/>
          </w:tcPr>
          <w:p w14:paraId="4843B5A1" w14:textId="77777777" w:rsidR="00603ADE" w:rsidRPr="006C520E" w:rsidRDefault="00603ADE" w:rsidP="009A58A3">
            <w:pPr>
              <w:rPr>
                <w:rFonts w:cs="Times New Roman"/>
                <w:szCs w:val="24"/>
              </w:rPr>
            </w:pPr>
          </w:p>
        </w:tc>
      </w:tr>
      <w:tr w:rsidR="00603ADE" w:rsidRPr="006C520E" w14:paraId="0CC025B6" w14:textId="77777777" w:rsidTr="009A58A3">
        <w:tc>
          <w:tcPr>
            <w:tcW w:w="750" w:type="pct"/>
            <w:vAlign w:val="center"/>
          </w:tcPr>
          <w:p w14:paraId="37B68AFA"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fbal</m:t>
                </m:r>
              </m:oMath>
            </m:oMathPara>
          </w:p>
        </w:tc>
        <w:tc>
          <w:tcPr>
            <w:tcW w:w="1048" w:type="pct"/>
            <w:vAlign w:val="center"/>
          </w:tcPr>
          <w:p w14:paraId="70FE5C8E" w14:textId="77777777" w:rsidR="00603ADE" w:rsidRPr="006C520E" w:rsidRDefault="00603ADE" w:rsidP="009A58A3">
            <w:pPr>
              <w:rPr>
                <w:rFonts w:cs="Times New Roman"/>
                <w:szCs w:val="24"/>
                <w:vertAlign w:val="superscript"/>
              </w:rPr>
            </w:pPr>
            <w:r w:rsidRPr="006C520E">
              <w:rPr>
                <w:rFonts w:cs="Times New Roman"/>
                <w:szCs w:val="24"/>
              </w:rPr>
              <w:t>0.0022 (</w:t>
            </w:r>
            <w:proofErr w:type="gramStart"/>
            <w:r w:rsidRPr="006C520E">
              <w:rPr>
                <w:rFonts w:cs="Times New Roman"/>
                <w:szCs w:val="24"/>
              </w:rPr>
              <w:t>0.001)</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69319537" w14:textId="77777777" w:rsidR="00603ADE" w:rsidRPr="006C520E" w:rsidRDefault="00603ADE" w:rsidP="009A58A3">
            <w:pPr>
              <w:rPr>
                <w:rFonts w:cs="Times New Roman"/>
                <w:szCs w:val="24"/>
              </w:rPr>
            </w:pPr>
          </w:p>
        </w:tc>
        <w:tc>
          <w:tcPr>
            <w:tcW w:w="1109" w:type="pct"/>
            <w:vAlign w:val="center"/>
          </w:tcPr>
          <w:p w14:paraId="2E3652E5" w14:textId="77777777" w:rsidR="00603ADE" w:rsidRPr="006C520E" w:rsidRDefault="00603ADE" w:rsidP="009A58A3">
            <w:pPr>
              <w:rPr>
                <w:rFonts w:cs="Times New Roman"/>
                <w:szCs w:val="24"/>
              </w:rPr>
            </w:pPr>
          </w:p>
        </w:tc>
        <w:tc>
          <w:tcPr>
            <w:tcW w:w="1045" w:type="pct"/>
          </w:tcPr>
          <w:p w14:paraId="7516F4F4" w14:textId="77777777" w:rsidR="00603ADE" w:rsidRPr="006C520E" w:rsidRDefault="00603ADE" w:rsidP="009A58A3">
            <w:pPr>
              <w:rPr>
                <w:rFonts w:cs="Times New Roman"/>
                <w:szCs w:val="24"/>
              </w:rPr>
            </w:pPr>
          </w:p>
        </w:tc>
      </w:tr>
      <w:tr w:rsidR="00603ADE" w:rsidRPr="006C520E" w14:paraId="53C6551F" w14:textId="77777777" w:rsidTr="009A58A3">
        <w:tc>
          <w:tcPr>
            <w:tcW w:w="750" w:type="pct"/>
            <w:vAlign w:val="center"/>
          </w:tcPr>
          <w:p w14:paraId="42736E57" w14:textId="77777777" w:rsidR="00603ADE" w:rsidRPr="006C520E" w:rsidRDefault="00603ADE" w:rsidP="009A58A3">
            <w:pPr>
              <w:rPr>
                <w:rFonts w:eastAsia="Calibri" w:cs="Times New Roman"/>
                <w:szCs w:val="24"/>
              </w:rPr>
            </w:pPr>
            <m:oMathPara>
              <m:oMathParaPr>
                <m:jc m:val="left"/>
              </m:oMathParaPr>
              <m:oMath>
                <m:r>
                  <w:rPr>
                    <w:rFonts w:ascii="Cambria Math" w:hAnsi="Cambria Math" w:cs="Times New Roman"/>
                    <w:szCs w:val="24"/>
                  </w:rPr>
                  <m:t>∆</m:t>
                </m:r>
                <m:r>
                  <w:rPr>
                    <w:rFonts w:ascii="Cambria Math" w:hAnsi="Cambria Math"/>
                  </w:rPr>
                  <m:t>p</m:t>
                </m:r>
              </m:oMath>
            </m:oMathPara>
          </w:p>
        </w:tc>
        <w:tc>
          <w:tcPr>
            <w:tcW w:w="1048" w:type="pct"/>
            <w:vAlign w:val="center"/>
          </w:tcPr>
          <w:p w14:paraId="615CD46C" w14:textId="77777777" w:rsidR="00603ADE" w:rsidRPr="006C520E" w:rsidRDefault="00603ADE" w:rsidP="009A58A3">
            <w:pPr>
              <w:rPr>
                <w:rFonts w:cs="Times New Roman"/>
                <w:szCs w:val="24"/>
                <w:vertAlign w:val="superscript"/>
              </w:rPr>
            </w:pPr>
            <w:r w:rsidRPr="006C520E">
              <w:rPr>
                <w:rFonts w:cs="Times New Roman"/>
                <w:szCs w:val="24"/>
              </w:rPr>
              <w:t>-0.0003 (</w:t>
            </w:r>
            <w:proofErr w:type="gramStart"/>
            <w:r w:rsidRPr="006C520E">
              <w:rPr>
                <w:rFonts w:cs="Times New Roman"/>
                <w:szCs w:val="24"/>
              </w:rPr>
              <w:t>0.0002)</w:t>
            </w:r>
            <w:r w:rsidRPr="006C520E">
              <w:rPr>
                <w:rFonts w:cs="Times New Roman"/>
                <w:szCs w:val="24"/>
                <w:vertAlign w:val="superscript"/>
              </w:rPr>
              <w:t>*</w:t>
            </w:r>
            <w:proofErr w:type="gramEnd"/>
            <w:r w:rsidRPr="006C520E">
              <w:rPr>
                <w:rFonts w:cs="Times New Roman"/>
                <w:szCs w:val="24"/>
                <w:vertAlign w:val="superscript"/>
              </w:rPr>
              <w:t>*</w:t>
            </w:r>
          </w:p>
        </w:tc>
        <w:tc>
          <w:tcPr>
            <w:tcW w:w="1048" w:type="pct"/>
            <w:vAlign w:val="center"/>
          </w:tcPr>
          <w:p w14:paraId="414E24C0" w14:textId="77777777" w:rsidR="00603ADE" w:rsidRPr="006C520E" w:rsidRDefault="00603ADE" w:rsidP="009A58A3">
            <w:pPr>
              <w:rPr>
                <w:rFonts w:cs="Times New Roman"/>
                <w:szCs w:val="24"/>
              </w:rPr>
            </w:pPr>
          </w:p>
        </w:tc>
        <w:tc>
          <w:tcPr>
            <w:tcW w:w="1109" w:type="pct"/>
            <w:vAlign w:val="center"/>
          </w:tcPr>
          <w:p w14:paraId="6DE4BAB4" w14:textId="77777777" w:rsidR="00603ADE" w:rsidRPr="006C520E" w:rsidRDefault="00603ADE" w:rsidP="009A58A3">
            <w:pPr>
              <w:rPr>
                <w:rFonts w:cs="Times New Roman"/>
                <w:szCs w:val="24"/>
              </w:rPr>
            </w:pPr>
          </w:p>
        </w:tc>
        <w:tc>
          <w:tcPr>
            <w:tcW w:w="1045" w:type="pct"/>
          </w:tcPr>
          <w:p w14:paraId="7ADB8D3D" w14:textId="77777777" w:rsidR="00603ADE" w:rsidRPr="006C520E" w:rsidRDefault="00603ADE" w:rsidP="009A58A3">
            <w:pPr>
              <w:rPr>
                <w:rFonts w:cs="Times New Roman"/>
                <w:szCs w:val="24"/>
              </w:rPr>
            </w:pPr>
          </w:p>
        </w:tc>
      </w:tr>
    </w:tbl>
    <w:p w14:paraId="7ABC58C1" w14:textId="77777777" w:rsidR="00603ADE" w:rsidRPr="006C520E" w:rsidRDefault="00603ADE" w:rsidP="00603ADE">
      <w:pPr>
        <w:pStyle w:val="Footer"/>
        <w:jc w:val="both"/>
        <w:rPr>
          <w:rFonts w:ascii="Garamond" w:eastAsia="Times New Roman" w:hAnsi="Garamond" w:cs="Times New Roman"/>
          <w:sz w:val="20"/>
          <w:szCs w:val="24"/>
        </w:rPr>
      </w:pPr>
      <w:r w:rsidRPr="006C520E">
        <w:rPr>
          <w:rFonts w:ascii="Garamond" w:eastAsia="Times New Roman" w:hAnsi="Garamond" w:cs="Times New Roman"/>
          <w:b/>
          <w:bCs/>
          <w:sz w:val="20"/>
          <w:szCs w:val="24"/>
        </w:rPr>
        <w:t xml:space="preserve">Notes: </w:t>
      </w:r>
      <m:oMath>
        <m:r>
          <m:rPr>
            <m:sty m:val="p"/>
          </m:rPr>
          <w:rPr>
            <w:rFonts w:ascii="Cambria Math" w:hAnsi="Cambria Math" w:cs="Times New Roman"/>
            <w:sz w:val="20"/>
            <w:szCs w:val="24"/>
          </w:rPr>
          <m:t>∆</m:t>
        </m:r>
      </m:oMath>
      <w:r w:rsidRPr="006C520E">
        <w:rPr>
          <w:rFonts w:ascii="Garamond" w:eastAsia="Times New Roman" w:hAnsi="Garamond" w:cs="Times New Roman"/>
          <w:sz w:val="20"/>
          <w:szCs w:val="24"/>
        </w:rPr>
        <w:t xml:space="preserve"> </w:t>
      </w:r>
      <w:r w:rsidRPr="006C520E">
        <w:rPr>
          <w:rFonts w:ascii="Garamond" w:hAnsi="Garamond" w:cs="Times New Roman"/>
          <w:sz w:val="20"/>
          <w:szCs w:val="24"/>
        </w:rPr>
        <w:t>represent first difference operator. The interaction term is excluded in the Model I’ specification in Panel A. Panel B’s specification excludes the underground economy variable. All the variables are included in Model III’s specification presented in Panel III. Asterisk (</w:t>
      </w:r>
      <w:r w:rsidRPr="006C520E">
        <w:rPr>
          <w:rFonts w:ascii="Garamond" w:eastAsia="Times New Roman" w:hAnsi="Garamond" w:cs="Times New Roman"/>
          <w:sz w:val="20"/>
          <w:szCs w:val="24"/>
          <w:vertAlign w:val="superscript"/>
          <w:lang w:eastAsia="en-GB"/>
        </w:rPr>
        <w:t>***</w:t>
      </w:r>
      <w:r w:rsidRPr="006C520E">
        <w:rPr>
          <w:rFonts w:ascii="Garamond" w:eastAsia="Times New Roman" w:hAnsi="Garamond" w:cs="Times New Roman"/>
          <w:sz w:val="20"/>
          <w:szCs w:val="24"/>
          <w:lang w:eastAsia="en-GB"/>
        </w:rPr>
        <w:t xml:space="preserve">), </w:t>
      </w:r>
      <w:r w:rsidRPr="006C520E">
        <w:rPr>
          <w:rFonts w:ascii="Garamond" w:hAnsi="Garamond" w:cs="Times New Roman"/>
          <w:sz w:val="20"/>
          <w:szCs w:val="24"/>
        </w:rPr>
        <w:t>(</w:t>
      </w:r>
      <w:r w:rsidRPr="006C520E">
        <w:rPr>
          <w:rFonts w:ascii="Garamond" w:eastAsia="Times New Roman" w:hAnsi="Garamond" w:cs="Times New Roman"/>
          <w:sz w:val="20"/>
          <w:szCs w:val="24"/>
          <w:vertAlign w:val="superscript"/>
          <w:lang w:eastAsia="en-GB"/>
        </w:rPr>
        <w:t>**</w:t>
      </w:r>
      <w:r w:rsidRPr="006C520E">
        <w:rPr>
          <w:rFonts w:ascii="Garamond" w:eastAsia="Times New Roman" w:hAnsi="Garamond" w:cs="Times New Roman"/>
          <w:sz w:val="20"/>
          <w:szCs w:val="24"/>
          <w:lang w:eastAsia="en-GB"/>
        </w:rPr>
        <w:t xml:space="preserve">) and </w:t>
      </w:r>
      <w:r w:rsidRPr="006C520E">
        <w:rPr>
          <w:rFonts w:ascii="Garamond" w:hAnsi="Garamond" w:cs="Times New Roman"/>
          <w:sz w:val="20"/>
          <w:szCs w:val="24"/>
        </w:rPr>
        <w:t>(</w:t>
      </w:r>
      <w:r w:rsidRPr="006C520E">
        <w:rPr>
          <w:rFonts w:ascii="Garamond" w:eastAsia="Times New Roman" w:hAnsi="Garamond" w:cs="Times New Roman"/>
          <w:sz w:val="20"/>
          <w:szCs w:val="24"/>
          <w:vertAlign w:val="superscript"/>
          <w:lang w:eastAsia="en-GB"/>
        </w:rPr>
        <w:t>*</w:t>
      </w:r>
      <w:r w:rsidRPr="006C520E">
        <w:rPr>
          <w:rFonts w:ascii="Garamond" w:eastAsia="Times New Roman" w:hAnsi="Garamond" w:cs="Times New Roman"/>
          <w:sz w:val="20"/>
          <w:szCs w:val="24"/>
          <w:lang w:eastAsia="en-GB"/>
        </w:rPr>
        <w:t xml:space="preserve">) </w:t>
      </w:r>
      <w:r w:rsidRPr="006C520E">
        <w:rPr>
          <w:rFonts w:ascii="Garamond" w:hAnsi="Garamond" w:cs="Times New Roman"/>
          <w:sz w:val="20"/>
          <w:szCs w:val="24"/>
        </w:rPr>
        <w:t xml:space="preserve">denote significance at 1%, 5% and </w:t>
      </w:r>
      <w:r w:rsidRPr="006C520E">
        <w:rPr>
          <w:rFonts w:ascii="Garamond" w:hAnsi="Garamond" w:cs="Times New Roman"/>
          <w:sz w:val="20"/>
          <w:szCs w:val="20"/>
        </w:rPr>
        <w:t>10% level, respectively</w:t>
      </w:r>
      <w:r w:rsidRPr="006C520E">
        <w:rPr>
          <w:rFonts w:ascii="Garamond" w:hAnsi="Garamond" w:cs="Times New Roman"/>
          <w:sz w:val="20"/>
          <w:szCs w:val="24"/>
        </w:rPr>
        <w:t xml:space="preserve">. Values in parenthesis (.)are the standard error. </w:t>
      </w:r>
      <w:r w:rsidRPr="006C520E">
        <w:rPr>
          <w:rFonts w:ascii="Garamond" w:eastAsia="Times New Roman" w:hAnsi="Garamond" w:cs="Times New Roman"/>
          <w:sz w:val="20"/>
          <w:szCs w:val="24"/>
        </w:rPr>
        <w:t xml:space="preserve">The models are estimated by setting the maximum lag to 4, while the optimal lag-length is suggested by </w:t>
      </w:r>
      <w:r w:rsidRPr="006C520E">
        <w:rPr>
          <w:rFonts w:ascii="Garamond" w:hAnsi="Garamond" w:cs="Times New Roman"/>
          <w:sz w:val="20"/>
          <w:szCs w:val="24"/>
        </w:rPr>
        <w:t>AIC</w:t>
      </w:r>
      <w:r w:rsidRPr="006C520E">
        <w:rPr>
          <w:rFonts w:ascii="Garamond" w:eastAsia="Times New Roman" w:hAnsi="Garamond" w:cs="Times New Roman"/>
          <w:sz w:val="20"/>
          <w:szCs w:val="24"/>
        </w:rPr>
        <w:t>.</w:t>
      </w:r>
    </w:p>
    <w:p w14:paraId="70C3CECB" w14:textId="58255362" w:rsidR="002B1AE7" w:rsidRPr="006C520E" w:rsidRDefault="002B1AE7" w:rsidP="002B1AE7">
      <w:pPr>
        <w:pStyle w:val="Heading1"/>
        <w:spacing w:before="120" w:line="240" w:lineRule="auto"/>
        <w:rPr>
          <w:rFonts w:ascii="Garamond" w:hAnsi="Garamond"/>
          <w:b/>
          <w:bCs/>
          <w:color w:val="auto"/>
          <w:sz w:val="24"/>
          <w:szCs w:val="24"/>
          <w:lang w:val="en-GB"/>
        </w:rPr>
      </w:pPr>
      <w:r w:rsidRPr="006C520E">
        <w:rPr>
          <w:rFonts w:ascii="Garamond" w:hAnsi="Garamond"/>
          <w:b/>
          <w:bCs/>
          <w:color w:val="auto"/>
          <w:sz w:val="24"/>
          <w:szCs w:val="24"/>
          <w:lang w:val="en-GB"/>
        </w:rPr>
        <w:t>Appendix</w:t>
      </w:r>
    </w:p>
    <w:p w14:paraId="24FAA0AF" w14:textId="289018B4" w:rsidR="002B1AE7" w:rsidRPr="006C520E" w:rsidRDefault="002B1AE7" w:rsidP="002B1AE7">
      <w:pPr>
        <w:pStyle w:val="Heading2"/>
        <w:rPr>
          <w:rFonts w:ascii="Garamond" w:hAnsi="Garamond"/>
          <w:b/>
          <w:bCs/>
          <w:color w:val="auto"/>
          <w:sz w:val="24"/>
          <w:szCs w:val="24"/>
        </w:rPr>
      </w:pPr>
      <w:r w:rsidRPr="006C520E">
        <w:rPr>
          <w:rFonts w:ascii="Garamond" w:hAnsi="Garamond"/>
          <w:b/>
          <w:bCs/>
          <w:color w:val="auto"/>
          <w:sz w:val="24"/>
          <w:szCs w:val="24"/>
        </w:rPr>
        <w:t>Appendix Tables</w:t>
      </w:r>
    </w:p>
    <w:p w14:paraId="08DA873E" w14:textId="609032EA" w:rsidR="00E45B7C" w:rsidRPr="006C520E" w:rsidRDefault="00284F99" w:rsidP="002B1AE7">
      <w:pPr>
        <w:spacing w:before="240" w:after="0"/>
        <w:rPr>
          <w:szCs w:val="24"/>
        </w:rPr>
      </w:pPr>
      <w:r w:rsidRPr="006C520E">
        <w:rPr>
          <w:b/>
          <w:bCs/>
          <w:szCs w:val="24"/>
        </w:rPr>
        <w:t>Table A1</w:t>
      </w:r>
      <w:r w:rsidRPr="006C520E">
        <w:rPr>
          <w:szCs w:val="24"/>
        </w:rPr>
        <w:t xml:space="preserve"> </w:t>
      </w:r>
      <w:r w:rsidR="00C26C73" w:rsidRPr="006C520E">
        <w:rPr>
          <w:szCs w:val="24"/>
        </w:rPr>
        <w:t>VIF</w:t>
      </w:r>
      <w:r w:rsidRPr="006C520E">
        <w:rPr>
          <w:szCs w:val="24"/>
        </w:rPr>
        <w:t xml:space="preserve"> </w:t>
      </w:r>
      <w:r w:rsidRPr="006C520E">
        <w:t>for contemporaneous and lagged independent variables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905"/>
        <w:gridCol w:w="904"/>
        <w:gridCol w:w="1312"/>
        <w:gridCol w:w="904"/>
        <w:gridCol w:w="904"/>
        <w:gridCol w:w="904"/>
        <w:gridCol w:w="904"/>
        <w:gridCol w:w="904"/>
        <w:gridCol w:w="904"/>
      </w:tblGrid>
      <w:tr w:rsidR="00C26C73" w:rsidRPr="006C520E" w14:paraId="0B39C384" w14:textId="77777777" w:rsidTr="00572EE0">
        <w:tc>
          <w:tcPr>
            <w:tcW w:w="435" w:type="pct"/>
            <w:tcBorders>
              <w:bottom w:val="single" w:sz="4" w:space="0" w:color="auto"/>
            </w:tcBorders>
            <w:vAlign w:val="center"/>
          </w:tcPr>
          <w:p w14:paraId="2B299962" w14:textId="04CC0C12" w:rsidR="00C26C73" w:rsidRPr="006C520E" w:rsidRDefault="00C26C73" w:rsidP="00D1178D">
            <w:pPr>
              <w:jc w:val="center"/>
              <w:rPr>
                <w:szCs w:val="24"/>
              </w:rPr>
            </w:pPr>
            <w:r w:rsidRPr="006C520E">
              <w:rPr>
                <w:szCs w:val="24"/>
              </w:rPr>
              <w:t>Lags</w:t>
            </w:r>
          </w:p>
        </w:tc>
        <w:tc>
          <w:tcPr>
            <w:tcW w:w="483" w:type="pct"/>
            <w:tcBorders>
              <w:bottom w:val="single" w:sz="4" w:space="0" w:color="auto"/>
            </w:tcBorders>
            <w:vAlign w:val="center"/>
          </w:tcPr>
          <w:p w14:paraId="4B6602F9" w14:textId="43DC5E17" w:rsidR="00C26C73" w:rsidRPr="006C520E" w:rsidRDefault="00C26C73" w:rsidP="00D1178D">
            <w:pPr>
              <w:jc w:val="center"/>
              <w:rPr>
                <w:szCs w:val="24"/>
              </w:rPr>
            </w:pPr>
            <m:oMathPara>
              <m:oMath>
                <m:r>
                  <w:rPr>
                    <w:rFonts w:ascii="Cambria Math" w:hAnsi="Cambria Math" w:cs="Times New Roman"/>
                    <w:szCs w:val="24"/>
                  </w:rPr>
                  <m:t>oil</m:t>
                </m:r>
              </m:oMath>
            </m:oMathPara>
          </w:p>
        </w:tc>
        <w:tc>
          <w:tcPr>
            <w:tcW w:w="483" w:type="pct"/>
            <w:tcBorders>
              <w:bottom w:val="single" w:sz="4" w:space="0" w:color="auto"/>
            </w:tcBorders>
            <w:vAlign w:val="center"/>
          </w:tcPr>
          <w:p w14:paraId="238CDF81" w14:textId="571ADFF2" w:rsidR="00C26C73" w:rsidRPr="006C520E" w:rsidRDefault="00C26C73" w:rsidP="00D1178D">
            <w:pPr>
              <w:jc w:val="center"/>
              <w:rPr>
                <w:szCs w:val="24"/>
              </w:rPr>
            </w:pPr>
            <m:oMathPara>
              <m:oMath>
                <m:r>
                  <w:rPr>
                    <w:rFonts w:ascii="Cambria Math" w:hAnsi="Cambria Math" w:cs="Times New Roman"/>
                    <w:szCs w:val="24"/>
                  </w:rPr>
                  <m:t>ue</m:t>
                </m:r>
              </m:oMath>
            </m:oMathPara>
          </w:p>
        </w:tc>
        <w:tc>
          <w:tcPr>
            <w:tcW w:w="701" w:type="pct"/>
            <w:tcBorders>
              <w:bottom w:val="single" w:sz="4" w:space="0" w:color="auto"/>
            </w:tcBorders>
            <w:vAlign w:val="center"/>
          </w:tcPr>
          <w:p w14:paraId="6E67118E" w14:textId="26037D7E" w:rsidR="00C26C73" w:rsidRPr="006C520E" w:rsidRDefault="00C26C73" w:rsidP="00D1178D">
            <w:pPr>
              <w:jc w:val="center"/>
              <w:rPr>
                <w:szCs w:val="24"/>
              </w:rPr>
            </w:pPr>
            <m:oMathPara>
              <m:oMath>
                <m:r>
                  <w:rPr>
                    <w:rFonts w:ascii="Cambria Math" w:hAnsi="Cambria Math" w:cs="Times New Roman"/>
                    <w:szCs w:val="24"/>
                  </w:rPr>
                  <m:t>oil×ue</m:t>
                </m:r>
              </m:oMath>
            </m:oMathPara>
          </w:p>
        </w:tc>
        <w:tc>
          <w:tcPr>
            <w:tcW w:w="483" w:type="pct"/>
            <w:tcBorders>
              <w:bottom w:val="single" w:sz="4" w:space="0" w:color="auto"/>
            </w:tcBorders>
            <w:vAlign w:val="center"/>
          </w:tcPr>
          <w:p w14:paraId="03196F8C" w14:textId="5B995FF7" w:rsidR="00C26C73" w:rsidRPr="006C520E" w:rsidRDefault="00C26C73" w:rsidP="00D1178D">
            <w:pPr>
              <w:jc w:val="center"/>
              <w:rPr>
                <w:szCs w:val="24"/>
              </w:rPr>
            </w:pPr>
            <m:oMathPara>
              <m:oMath>
                <m:r>
                  <w:rPr>
                    <w:rFonts w:ascii="Cambria Math" w:hAnsi="Cambria Math" w:cs="Times New Roman"/>
                    <w:szCs w:val="24"/>
                  </w:rPr>
                  <m:t>debt</m:t>
                </m:r>
              </m:oMath>
            </m:oMathPara>
          </w:p>
        </w:tc>
        <w:tc>
          <w:tcPr>
            <w:tcW w:w="483" w:type="pct"/>
            <w:tcBorders>
              <w:bottom w:val="single" w:sz="4" w:space="0" w:color="auto"/>
            </w:tcBorders>
            <w:vAlign w:val="center"/>
          </w:tcPr>
          <w:p w14:paraId="01D90430" w14:textId="75277EE2" w:rsidR="00C26C73" w:rsidRPr="006C520E" w:rsidRDefault="00C26C73" w:rsidP="00D1178D">
            <w:pPr>
              <w:jc w:val="center"/>
              <w:rPr>
                <w:szCs w:val="24"/>
              </w:rPr>
            </w:pPr>
            <m:oMathPara>
              <m:oMath>
                <m:r>
                  <w:rPr>
                    <w:rFonts w:ascii="Cambria Math" w:hAnsi="Cambria Math"/>
                  </w:rPr>
                  <m:t>dinv</m:t>
                </m:r>
              </m:oMath>
            </m:oMathPara>
          </w:p>
        </w:tc>
        <w:tc>
          <w:tcPr>
            <w:tcW w:w="483" w:type="pct"/>
            <w:tcBorders>
              <w:bottom w:val="single" w:sz="4" w:space="0" w:color="auto"/>
            </w:tcBorders>
            <w:vAlign w:val="center"/>
          </w:tcPr>
          <w:p w14:paraId="251F9FA4" w14:textId="43BFA0CD" w:rsidR="00C26C73" w:rsidRPr="006C520E" w:rsidRDefault="00C26C73" w:rsidP="00D1178D">
            <w:pPr>
              <w:jc w:val="center"/>
              <w:rPr>
                <w:rFonts w:eastAsia="Calibri" w:cs="Arial"/>
              </w:rPr>
            </w:pPr>
            <m:oMathPara>
              <m:oMath>
                <m:r>
                  <w:rPr>
                    <w:rFonts w:ascii="Cambria Math" w:hAnsi="Cambria Math"/>
                  </w:rPr>
                  <m:t>fx</m:t>
                </m:r>
              </m:oMath>
            </m:oMathPara>
          </w:p>
        </w:tc>
        <w:tc>
          <w:tcPr>
            <w:tcW w:w="483" w:type="pct"/>
            <w:tcBorders>
              <w:bottom w:val="single" w:sz="4" w:space="0" w:color="auto"/>
            </w:tcBorders>
            <w:vAlign w:val="center"/>
          </w:tcPr>
          <w:p w14:paraId="7D824D00" w14:textId="04900BC1" w:rsidR="00C26C73" w:rsidRPr="006C520E" w:rsidRDefault="00C26C73" w:rsidP="00D1178D">
            <w:pPr>
              <w:jc w:val="center"/>
              <w:rPr>
                <w:szCs w:val="24"/>
              </w:rPr>
            </w:pPr>
            <m:oMathPara>
              <m:oMath>
                <m:r>
                  <w:rPr>
                    <w:rFonts w:ascii="Cambria Math" w:hAnsi="Cambria Math"/>
                  </w:rPr>
                  <m:t>elec</m:t>
                </m:r>
              </m:oMath>
            </m:oMathPara>
          </w:p>
        </w:tc>
        <w:tc>
          <w:tcPr>
            <w:tcW w:w="483" w:type="pct"/>
            <w:tcBorders>
              <w:bottom w:val="single" w:sz="4" w:space="0" w:color="auto"/>
            </w:tcBorders>
            <w:vAlign w:val="center"/>
          </w:tcPr>
          <w:p w14:paraId="0AD0E63F" w14:textId="62FC24E5" w:rsidR="00C26C73" w:rsidRPr="006C520E" w:rsidRDefault="00C26C73" w:rsidP="00D1178D">
            <w:pPr>
              <w:jc w:val="center"/>
              <w:rPr>
                <w:szCs w:val="24"/>
              </w:rPr>
            </w:pPr>
            <m:oMathPara>
              <m:oMath>
                <m:r>
                  <w:rPr>
                    <w:rFonts w:ascii="Cambria Math" w:hAnsi="Cambria Math"/>
                  </w:rPr>
                  <m:t>fbal</m:t>
                </m:r>
              </m:oMath>
            </m:oMathPara>
          </w:p>
        </w:tc>
        <w:tc>
          <w:tcPr>
            <w:tcW w:w="483" w:type="pct"/>
            <w:tcBorders>
              <w:bottom w:val="single" w:sz="4" w:space="0" w:color="auto"/>
            </w:tcBorders>
            <w:vAlign w:val="center"/>
          </w:tcPr>
          <w:p w14:paraId="0B1DA46E" w14:textId="3BD014F2" w:rsidR="00C26C73" w:rsidRPr="006C520E" w:rsidRDefault="00C26C73" w:rsidP="00D1178D">
            <w:pPr>
              <w:jc w:val="center"/>
              <w:rPr>
                <w:szCs w:val="24"/>
              </w:rPr>
            </w:pPr>
            <m:oMathPara>
              <m:oMath>
                <m:r>
                  <w:rPr>
                    <w:rFonts w:ascii="Cambria Math" w:hAnsi="Cambria Math"/>
                  </w:rPr>
                  <m:t>p</m:t>
                </m:r>
              </m:oMath>
            </m:oMathPara>
          </w:p>
        </w:tc>
      </w:tr>
      <w:tr w:rsidR="00C26C73" w:rsidRPr="006C520E" w14:paraId="1F155EEB" w14:textId="77777777" w:rsidTr="00572EE0">
        <w:tc>
          <w:tcPr>
            <w:tcW w:w="5000" w:type="pct"/>
            <w:gridSpan w:val="10"/>
            <w:tcBorders>
              <w:top w:val="single" w:sz="4" w:space="0" w:color="auto"/>
              <w:bottom w:val="single" w:sz="4" w:space="0" w:color="auto"/>
            </w:tcBorders>
            <w:vAlign w:val="center"/>
          </w:tcPr>
          <w:p w14:paraId="214056E7" w14:textId="17E04A11" w:rsidR="00C26C73" w:rsidRPr="006C520E" w:rsidRDefault="00C26C73" w:rsidP="00D1178D">
            <w:pPr>
              <w:jc w:val="center"/>
              <w:rPr>
                <w:rFonts w:eastAsia="Calibri" w:cs="Arial"/>
              </w:rPr>
            </w:pPr>
            <w:r w:rsidRPr="006C520E">
              <w:rPr>
                <w:rFonts w:eastAsia="Calibri" w:cs="Arial"/>
              </w:rPr>
              <w:t>Model I</w:t>
            </w:r>
          </w:p>
        </w:tc>
      </w:tr>
      <w:tr w:rsidR="00C26C73" w:rsidRPr="006C520E" w14:paraId="30284410" w14:textId="77777777" w:rsidTr="00572EE0">
        <w:tc>
          <w:tcPr>
            <w:tcW w:w="435" w:type="pct"/>
            <w:tcBorders>
              <w:top w:val="single" w:sz="4" w:space="0" w:color="auto"/>
            </w:tcBorders>
            <w:vAlign w:val="center"/>
          </w:tcPr>
          <w:p w14:paraId="420E513B" w14:textId="1C43927B" w:rsidR="00C26C73" w:rsidRPr="006C520E" w:rsidRDefault="00C26C73" w:rsidP="00D1178D">
            <w:pPr>
              <w:jc w:val="center"/>
              <w:rPr>
                <w:szCs w:val="24"/>
              </w:rPr>
            </w:pPr>
            <w:r w:rsidRPr="006C520E">
              <w:rPr>
                <w:szCs w:val="24"/>
              </w:rPr>
              <w:t>0</w:t>
            </w:r>
          </w:p>
        </w:tc>
        <w:tc>
          <w:tcPr>
            <w:tcW w:w="483" w:type="pct"/>
            <w:tcBorders>
              <w:top w:val="single" w:sz="4" w:space="0" w:color="auto"/>
            </w:tcBorders>
            <w:vAlign w:val="center"/>
          </w:tcPr>
          <w:p w14:paraId="0799DCFF" w14:textId="07086C1D"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34BFC481" w14:textId="7605678A" w:rsidR="00C26C73" w:rsidRPr="006C520E" w:rsidRDefault="00C26C73" w:rsidP="00D1178D">
            <w:pPr>
              <w:jc w:val="center"/>
              <w:rPr>
                <w:szCs w:val="24"/>
              </w:rPr>
            </w:pPr>
            <w:r w:rsidRPr="006C520E">
              <w:rPr>
                <w:szCs w:val="24"/>
              </w:rPr>
              <w:t>0.000</w:t>
            </w:r>
          </w:p>
        </w:tc>
        <w:tc>
          <w:tcPr>
            <w:tcW w:w="701" w:type="pct"/>
            <w:tcBorders>
              <w:top w:val="single" w:sz="4" w:space="0" w:color="auto"/>
            </w:tcBorders>
            <w:vAlign w:val="center"/>
          </w:tcPr>
          <w:p w14:paraId="3BE26699" w14:textId="77777777" w:rsidR="00C26C73" w:rsidRPr="006C520E" w:rsidRDefault="00C26C73" w:rsidP="00D1178D">
            <w:pPr>
              <w:jc w:val="center"/>
              <w:rPr>
                <w:szCs w:val="24"/>
              </w:rPr>
            </w:pPr>
          </w:p>
        </w:tc>
        <w:tc>
          <w:tcPr>
            <w:tcW w:w="483" w:type="pct"/>
            <w:tcBorders>
              <w:top w:val="single" w:sz="4" w:space="0" w:color="auto"/>
            </w:tcBorders>
            <w:vAlign w:val="center"/>
          </w:tcPr>
          <w:p w14:paraId="7786DE56" w14:textId="5E631779"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0C0C7285" w14:textId="28741B2A"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4B1F5024" w14:textId="1ABF74A0"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549213BC" w14:textId="45B8F4D3"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030BEEB7" w14:textId="0913A308" w:rsidR="00C26C73" w:rsidRPr="006C520E" w:rsidRDefault="00C26C73" w:rsidP="00D1178D">
            <w:pPr>
              <w:jc w:val="center"/>
              <w:rPr>
                <w:szCs w:val="24"/>
              </w:rPr>
            </w:pPr>
            <w:r w:rsidRPr="006C520E">
              <w:rPr>
                <w:szCs w:val="24"/>
              </w:rPr>
              <w:t>0.000</w:t>
            </w:r>
          </w:p>
        </w:tc>
        <w:tc>
          <w:tcPr>
            <w:tcW w:w="483" w:type="pct"/>
            <w:tcBorders>
              <w:top w:val="single" w:sz="4" w:space="0" w:color="auto"/>
            </w:tcBorders>
            <w:vAlign w:val="center"/>
          </w:tcPr>
          <w:p w14:paraId="7BD186AB" w14:textId="104F7DAD" w:rsidR="00C26C73" w:rsidRPr="006C520E" w:rsidRDefault="00C26C73" w:rsidP="00D1178D">
            <w:pPr>
              <w:jc w:val="center"/>
              <w:rPr>
                <w:szCs w:val="24"/>
              </w:rPr>
            </w:pPr>
            <w:r w:rsidRPr="006C520E">
              <w:rPr>
                <w:szCs w:val="24"/>
              </w:rPr>
              <w:t>0.000</w:t>
            </w:r>
          </w:p>
        </w:tc>
      </w:tr>
      <w:tr w:rsidR="00C26C73" w:rsidRPr="006C520E" w14:paraId="38331CB2" w14:textId="77777777" w:rsidTr="00572EE0">
        <w:tc>
          <w:tcPr>
            <w:tcW w:w="435" w:type="pct"/>
            <w:vAlign w:val="center"/>
          </w:tcPr>
          <w:p w14:paraId="13C7E09F" w14:textId="675736B9" w:rsidR="00C26C73" w:rsidRPr="006C520E" w:rsidRDefault="00C26C73" w:rsidP="00D1178D">
            <w:pPr>
              <w:jc w:val="center"/>
              <w:rPr>
                <w:szCs w:val="24"/>
              </w:rPr>
            </w:pPr>
            <w:r w:rsidRPr="006C520E">
              <w:rPr>
                <w:szCs w:val="24"/>
              </w:rPr>
              <w:t>1</w:t>
            </w:r>
          </w:p>
        </w:tc>
        <w:tc>
          <w:tcPr>
            <w:tcW w:w="483" w:type="pct"/>
            <w:vAlign w:val="center"/>
          </w:tcPr>
          <w:p w14:paraId="1F7115C5" w14:textId="41BC1266" w:rsidR="00C26C73" w:rsidRPr="006C520E" w:rsidRDefault="00C26C73" w:rsidP="00D1178D">
            <w:pPr>
              <w:jc w:val="center"/>
              <w:rPr>
                <w:szCs w:val="24"/>
              </w:rPr>
            </w:pPr>
            <w:r w:rsidRPr="006C520E">
              <w:rPr>
                <w:szCs w:val="24"/>
              </w:rPr>
              <w:t>0.000</w:t>
            </w:r>
          </w:p>
        </w:tc>
        <w:tc>
          <w:tcPr>
            <w:tcW w:w="483" w:type="pct"/>
            <w:vAlign w:val="center"/>
          </w:tcPr>
          <w:p w14:paraId="505CE26F" w14:textId="48FC2894" w:rsidR="00C26C73" w:rsidRPr="006C520E" w:rsidRDefault="00C26C73" w:rsidP="00D1178D">
            <w:pPr>
              <w:jc w:val="center"/>
              <w:rPr>
                <w:szCs w:val="24"/>
              </w:rPr>
            </w:pPr>
            <w:r w:rsidRPr="006C520E">
              <w:rPr>
                <w:szCs w:val="24"/>
              </w:rPr>
              <w:t>0.000</w:t>
            </w:r>
          </w:p>
        </w:tc>
        <w:tc>
          <w:tcPr>
            <w:tcW w:w="701" w:type="pct"/>
            <w:vAlign w:val="center"/>
          </w:tcPr>
          <w:p w14:paraId="16679B30" w14:textId="77777777" w:rsidR="00C26C73" w:rsidRPr="006C520E" w:rsidRDefault="00C26C73" w:rsidP="00D1178D">
            <w:pPr>
              <w:jc w:val="center"/>
              <w:rPr>
                <w:szCs w:val="24"/>
              </w:rPr>
            </w:pPr>
          </w:p>
        </w:tc>
        <w:tc>
          <w:tcPr>
            <w:tcW w:w="483" w:type="pct"/>
            <w:vAlign w:val="center"/>
          </w:tcPr>
          <w:p w14:paraId="1FB93244" w14:textId="0E20FDBC" w:rsidR="00C26C73" w:rsidRPr="006C520E" w:rsidRDefault="00C26C73" w:rsidP="00D1178D">
            <w:pPr>
              <w:jc w:val="center"/>
              <w:rPr>
                <w:szCs w:val="24"/>
              </w:rPr>
            </w:pPr>
            <w:r w:rsidRPr="006C520E">
              <w:rPr>
                <w:szCs w:val="24"/>
              </w:rPr>
              <w:t>0.000</w:t>
            </w:r>
          </w:p>
        </w:tc>
        <w:tc>
          <w:tcPr>
            <w:tcW w:w="483" w:type="pct"/>
            <w:vAlign w:val="center"/>
          </w:tcPr>
          <w:p w14:paraId="1ECA2C87" w14:textId="78379EE9" w:rsidR="00C26C73" w:rsidRPr="006C520E" w:rsidRDefault="00C26C73" w:rsidP="00D1178D">
            <w:pPr>
              <w:jc w:val="center"/>
              <w:rPr>
                <w:szCs w:val="24"/>
              </w:rPr>
            </w:pPr>
            <w:r w:rsidRPr="006C520E">
              <w:rPr>
                <w:szCs w:val="24"/>
              </w:rPr>
              <w:t>0.000</w:t>
            </w:r>
          </w:p>
        </w:tc>
        <w:tc>
          <w:tcPr>
            <w:tcW w:w="483" w:type="pct"/>
            <w:vAlign w:val="center"/>
          </w:tcPr>
          <w:p w14:paraId="7059B727" w14:textId="3DE9CD2E" w:rsidR="00C26C73" w:rsidRPr="006C520E" w:rsidRDefault="00C26C73" w:rsidP="00D1178D">
            <w:pPr>
              <w:jc w:val="center"/>
              <w:rPr>
                <w:szCs w:val="24"/>
              </w:rPr>
            </w:pPr>
            <w:r w:rsidRPr="006C520E">
              <w:rPr>
                <w:szCs w:val="24"/>
              </w:rPr>
              <w:t>0.000</w:t>
            </w:r>
          </w:p>
        </w:tc>
        <w:tc>
          <w:tcPr>
            <w:tcW w:w="483" w:type="pct"/>
            <w:vAlign w:val="center"/>
          </w:tcPr>
          <w:p w14:paraId="4D1AF801" w14:textId="63952542" w:rsidR="00C26C73" w:rsidRPr="006C520E" w:rsidRDefault="00C26C73" w:rsidP="00D1178D">
            <w:pPr>
              <w:jc w:val="center"/>
              <w:rPr>
                <w:szCs w:val="24"/>
              </w:rPr>
            </w:pPr>
            <w:r w:rsidRPr="006C520E">
              <w:rPr>
                <w:szCs w:val="24"/>
              </w:rPr>
              <w:t>0.000</w:t>
            </w:r>
          </w:p>
        </w:tc>
        <w:tc>
          <w:tcPr>
            <w:tcW w:w="483" w:type="pct"/>
            <w:vAlign w:val="center"/>
          </w:tcPr>
          <w:p w14:paraId="1EA92AB6" w14:textId="51621C7B" w:rsidR="00C26C73" w:rsidRPr="006C520E" w:rsidRDefault="00C26C73" w:rsidP="00D1178D">
            <w:pPr>
              <w:jc w:val="center"/>
              <w:rPr>
                <w:szCs w:val="24"/>
              </w:rPr>
            </w:pPr>
            <w:r w:rsidRPr="006C520E">
              <w:rPr>
                <w:szCs w:val="24"/>
              </w:rPr>
              <w:t>0.000</w:t>
            </w:r>
          </w:p>
        </w:tc>
        <w:tc>
          <w:tcPr>
            <w:tcW w:w="483" w:type="pct"/>
            <w:vAlign w:val="center"/>
          </w:tcPr>
          <w:p w14:paraId="5AD8549E" w14:textId="54951FF3" w:rsidR="00C26C73" w:rsidRPr="006C520E" w:rsidRDefault="00C26C73" w:rsidP="00D1178D">
            <w:pPr>
              <w:jc w:val="center"/>
              <w:rPr>
                <w:szCs w:val="24"/>
              </w:rPr>
            </w:pPr>
            <w:r w:rsidRPr="006C520E">
              <w:rPr>
                <w:szCs w:val="24"/>
              </w:rPr>
              <w:t>0.000</w:t>
            </w:r>
          </w:p>
        </w:tc>
      </w:tr>
      <w:tr w:rsidR="00C26C73" w:rsidRPr="006C520E" w14:paraId="5C106D17" w14:textId="77777777" w:rsidTr="00572EE0">
        <w:tc>
          <w:tcPr>
            <w:tcW w:w="435" w:type="pct"/>
            <w:vAlign w:val="center"/>
          </w:tcPr>
          <w:p w14:paraId="1BE0B6B4" w14:textId="17DB4056" w:rsidR="00C26C73" w:rsidRPr="006C520E" w:rsidRDefault="00C26C73" w:rsidP="00D1178D">
            <w:pPr>
              <w:jc w:val="center"/>
              <w:rPr>
                <w:szCs w:val="24"/>
              </w:rPr>
            </w:pPr>
            <w:r w:rsidRPr="006C520E">
              <w:rPr>
                <w:szCs w:val="24"/>
              </w:rPr>
              <w:t>2</w:t>
            </w:r>
          </w:p>
        </w:tc>
        <w:tc>
          <w:tcPr>
            <w:tcW w:w="483" w:type="pct"/>
            <w:vAlign w:val="center"/>
          </w:tcPr>
          <w:p w14:paraId="6FB01B09" w14:textId="6AEDE134" w:rsidR="00C26C73" w:rsidRPr="006C520E" w:rsidRDefault="00C26C73" w:rsidP="00D1178D">
            <w:pPr>
              <w:jc w:val="center"/>
              <w:rPr>
                <w:szCs w:val="24"/>
              </w:rPr>
            </w:pPr>
            <w:r w:rsidRPr="006C520E">
              <w:rPr>
                <w:szCs w:val="24"/>
              </w:rPr>
              <w:t>0.000</w:t>
            </w:r>
          </w:p>
        </w:tc>
        <w:tc>
          <w:tcPr>
            <w:tcW w:w="483" w:type="pct"/>
            <w:vAlign w:val="center"/>
          </w:tcPr>
          <w:p w14:paraId="520A0B79" w14:textId="328AA55F" w:rsidR="00C26C73" w:rsidRPr="006C520E" w:rsidRDefault="00C26C73" w:rsidP="00D1178D">
            <w:pPr>
              <w:jc w:val="center"/>
              <w:rPr>
                <w:szCs w:val="24"/>
              </w:rPr>
            </w:pPr>
            <w:r w:rsidRPr="006C520E">
              <w:rPr>
                <w:szCs w:val="24"/>
              </w:rPr>
              <w:t>0.000</w:t>
            </w:r>
          </w:p>
        </w:tc>
        <w:tc>
          <w:tcPr>
            <w:tcW w:w="701" w:type="pct"/>
            <w:vAlign w:val="center"/>
          </w:tcPr>
          <w:p w14:paraId="66670DAD" w14:textId="77777777" w:rsidR="00C26C73" w:rsidRPr="006C520E" w:rsidRDefault="00C26C73" w:rsidP="00D1178D">
            <w:pPr>
              <w:jc w:val="center"/>
              <w:rPr>
                <w:szCs w:val="24"/>
              </w:rPr>
            </w:pPr>
          </w:p>
        </w:tc>
        <w:tc>
          <w:tcPr>
            <w:tcW w:w="483" w:type="pct"/>
            <w:vAlign w:val="center"/>
          </w:tcPr>
          <w:p w14:paraId="1A849532" w14:textId="1A056C1D" w:rsidR="00C26C73" w:rsidRPr="006C520E" w:rsidRDefault="00C26C73" w:rsidP="00D1178D">
            <w:pPr>
              <w:jc w:val="center"/>
              <w:rPr>
                <w:szCs w:val="24"/>
              </w:rPr>
            </w:pPr>
            <w:r w:rsidRPr="006C520E">
              <w:rPr>
                <w:szCs w:val="24"/>
              </w:rPr>
              <w:t>0.000</w:t>
            </w:r>
          </w:p>
        </w:tc>
        <w:tc>
          <w:tcPr>
            <w:tcW w:w="483" w:type="pct"/>
            <w:vAlign w:val="center"/>
          </w:tcPr>
          <w:p w14:paraId="6B5C4F7E" w14:textId="354B180C" w:rsidR="00C26C73" w:rsidRPr="006C520E" w:rsidRDefault="00C26C73" w:rsidP="00D1178D">
            <w:pPr>
              <w:jc w:val="center"/>
              <w:rPr>
                <w:szCs w:val="24"/>
              </w:rPr>
            </w:pPr>
            <w:r w:rsidRPr="006C520E">
              <w:rPr>
                <w:szCs w:val="24"/>
              </w:rPr>
              <w:t>0.000</w:t>
            </w:r>
          </w:p>
        </w:tc>
        <w:tc>
          <w:tcPr>
            <w:tcW w:w="483" w:type="pct"/>
            <w:vAlign w:val="center"/>
          </w:tcPr>
          <w:p w14:paraId="35507AB6" w14:textId="4D713A3F" w:rsidR="00C26C73" w:rsidRPr="006C520E" w:rsidRDefault="00C26C73" w:rsidP="00D1178D">
            <w:pPr>
              <w:jc w:val="center"/>
              <w:rPr>
                <w:szCs w:val="24"/>
              </w:rPr>
            </w:pPr>
            <w:r w:rsidRPr="006C520E">
              <w:rPr>
                <w:szCs w:val="24"/>
              </w:rPr>
              <w:t>0.000</w:t>
            </w:r>
          </w:p>
        </w:tc>
        <w:tc>
          <w:tcPr>
            <w:tcW w:w="483" w:type="pct"/>
            <w:vAlign w:val="center"/>
          </w:tcPr>
          <w:p w14:paraId="4F6274AE" w14:textId="6BC33050" w:rsidR="00C26C73" w:rsidRPr="006C520E" w:rsidRDefault="00C26C73" w:rsidP="00D1178D">
            <w:pPr>
              <w:jc w:val="center"/>
              <w:rPr>
                <w:szCs w:val="24"/>
              </w:rPr>
            </w:pPr>
            <w:r w:rsidRPr="006C520E">
              <w:rPr>
                <w:szCs w:val="24"/>
              </w:rPr>
              <w:t>0.000</w:t>
            </w:r>
          </w:p>
        </w:tc>
        <w:tc>
          <w:tcPr>
            <w:tcW w:w="483" w:type="pct"/>
            <w:vAlign w:val="center"/>
          </w:tcPr>
          <w:p w14:paraId="0F23243C" w14:textId="3BEB8BD3" w:rsidR="00C26C73" w:rsidRPr="006C520E" w:rsidRDefault="00C26C73" w:rsidP="00D1178D">
            <w:pPr>
              <w:jc w:val="center"/>
              <w:rPr>
                <w:szCs w:val="24"/>
              </w:rPr>
            </w:pPr>
            <w:r w:rsidRPr="006C520E">
              <w:rPr>
                <w:szCs w:val="24"/>
              </w:rPr>
              <w:t>0.000</w:t>
            </w:r>
          </w:p>
        </w:tc>
        <w:tc>
          <w:tcPr>
            <w:tcW w:w="483" w:type="pct"/>
            <w:vAlign w:val="center"/>
          </w:tcPr>
          <w:p w14:paraId="5231D049" w14:textId="77F79FC4" w:rsidR="00C26C73" w:rsidRPr="006C520E" w:rsidRDefault="00C26C73" w:rsidP="00D1178D">
            <w:pPr>
              <w:jc w:val="center"/>
              <w:rPr>
                <w:szCs w:val="24"/>
              </w:rPr>
            </w:pPr>
            <w:r w:rsidRPr="006C520E">
              <w:rPr>
                <w:szCs w:val="24"/>
              </w:rPr>
              <w:t>0.000</w:t>
            </w:r>
          </w:p>
        </w:tc>
      </w:tr>
      <w:tr w:rsidR="00C26C73" w:rsidRPr="006C520E" w14:paraId="6F431069" w14:textId="77777777" w:rsidTr="00572EE0">
        <w:tc>
          <w:tcPr>
            <w:tcW w:w="435" w:type="pct"/>
            <w:vAlign w:val="center"/>
          </w:tcPr>
          <w:p w14:paraId="022B88FB" w14:textId="513FD0A6" w:rsidR="00C26C73" w:rsidRPr="006C520E" w:rsidRDefault="00C26C73" w:rsidP="00D1178D">
            <w:pPr>
              <w:jc w:val="center"/>
              <w:rPr>
                <w:szCs w:val="24"/>
              </w:rPr>
            </w:pPr>
            <w:r w:rsidRPr="006C520E">
              <w:rPr>
                <w:szCs w:val="24"/>
              </w:rPr>
              <w:t>3</w:t>
            </w:r>
          </w:p>
        </w:tc>
        <w:tc>
          <w:tcPr>
            <w:tcW w:w="483" w:type="pct"/>
            <w:vAlign w:val="center"/>
          </w:tcPr>
          <w:p w14:paraId="45C0279A" w14:textId="77777777" w:rsidR="00C26C73" w:rsidRPr="006C520E" w:rsidRDefault="00C26C73" w:rsidP="00D1178D">
            <w:pPr>
              <w:jc w:val="center"/>
              <w:rPr>
                <w:szCs w:val="24"/>
              </w:rPr>
            </w:pPr>
          </w:p>
        </w:tc>
        <w:tc>
          <w:tcPr>
            <w:tcW w:w="483" w:type="pct"/>
            <w:vAlign w:val="center"/>
          </w:tcPr>
          <w:p w14:paraId="77BC0F6A" w14:textId="6D91A7DD" w:rsidR="00C26C73" w:rsidRPr="006C520E" w:rsidRDefault="00C26C73" w:rsidP="00D1178D">
            <w:pPr>
              <w:jc w:val="center"/>
              <w:rPr>
                <w:szCs w:val="24"/>
              </w:rPr>
            </w:pPr>
            <w:r w:rsidRPr="006C520E">
              <w:rPr>
                <w:szCs w:val="24"/>
              </w:rPr>
              <w:t>0.000</w:t>
            </w:r>
          </w:p>
        </w:tc>
        <w:tc>
          <w:tcPr>
            <w:tcW w:w="701" w:type="pct"/>
            <w:vAlign w:val="center"/>
          </w:tcPr>
          <w:p w14:paraId="04A858DC" w14:textId="77777777" w:rsidR="00C26C73" w:rsidRPr="006C520E" w:rsidRDefault="00C26C73" w:rsidP="00D1178D">
            <w:pPr>
              <w:jc w:val="center"/>
              <w:rPr>
                <w:szCs w:val="24"/>
              </w:rPr>
            </w:pPr>
          </w:p>
        </w:tc>
        <w:tc>
          <w:tcPr>
            <w:tcW w:w="483" w:type="pct"/>
            <w:vAlign w:val="center"/>
          </w:tcPr>
          <w:p w14:paraId="4965B36F" w14:textId="77777777" w:rsidR="00C26C73" w:rsidRPr="006C520E" w:rsidRDefault="00C26C73" w:rsidP="00D1178D">
            <w:pPr>
              <w:jc w:val="center"/>
              <w:rPr>
                <w:szCs w:val="24"/>
              </w:rPr>
            </w:pPr>
          </w:p>
        </w:tc>
        <w:tc>
          <w:tcPr>
            <w:tcW w:w="483" w:type="pct"/>
            <w:vAlign w:val="center"/>
          </w:tcPr>
          <w:p w14:paraId="5DA1760D" w14:textId="77777777" w:rsidR="00C26C73" w:rsidRPr="006C520E" w:rsidRDefault="00C26C73" w:rsidP="00D1178D">
            <w:pPr>
              <w:jc w:val="center"/>
              <w:rPr>
                <w:szCs w:val="24"/>
              </w:rPr>
            </w:pPr>
          </w:p>
        </w:tc>
        <w:tc>
          <w:tcPr>
            <w:tcW w:w="483" w:type="pct"/>
            <w:vAlign w:val="center"/>
          </w:tcPr>
          <w:p w14:paraId="36285DA3" w14:textId="0BD4693E" w:rsidR="00C26C73" w:rsidRPr="006C520E" w:rsidRDefault="00C26C73" w:rsidP="00D1178D">
            <w:pPr>
              <w:jc w:val="center"/>
              <w:rPr>
                <w:szCs w:val="24"/>
              </w:rPr>
            </w:pPr>
            <w:r w:rsidRPr="006C520E">
              <w:rPr>
                <w:szCs w:val="24"/>
              </w:rPr>
              <w:t>0.000</w:t>
            </w:r>
          </w:p>
        </w:tc>
        <w:tc>
          <w:tcPr>
            <w:tcW w:w="483" w:type="pct"/>
            <w:vAlign w:val="center"/>
          </w:tcPr>
          <w:p w14:paraId="163AAA91" w14:textId="6B805ACD" w:rsidR="00C26C73" w:rsidRPr="006C520E" w:rsidRDefault="00C26C73" w:rsidP="00D1178D">
            <w:pPr>
              <w:jc w:val="center"/>
              <w:rPr>
                <w:szCs w:val="24"/>
              </w:rPr>
            </w:pPr>
          </w:p>
        </w:tc>
        <w:tc>
          <w:tcPr>
            <w:tcW w:w="483" w:type="pct"/>
            <w:vAlign w:val="center"/>
          </w:tcPr>
          <w:p w14:paraId="63AE27FC" w14:textId="77777777" w:rsidR="00C26C73" w:rsidRPr="006C520E" w:rsidRDefault="00C26C73" w:rsidP="00D1178D">
            <w:pPr>
              <w:jc w:val="center"/>
              <w:rPr>
                <w:szCs w:val="24"/>
              </w:rPr>
            </w:pPr>
          </w:p>
        </w:tc>
        <w:tc>
          <w:tcPr>
            <w:tcW w:w="483" w:type="pct"/>
            <w:vAlign w:val="center"/>
          </w:tcPr>
          <w:p w14:paraId="2B40C7F0" w14:textId="71B91105" w:rsidR="00C26C73" w:rsidRPr="006C520E" w:rsidRDefault="00C26C73" w:rsidP="00D1178D">
            <w:pPr>
              <w:jc w:val="center"/>
              <w:rPr>
                <w:szCs w:val="24"/>
              </w:rPr>
            </w:pPr>
            <w:r w:rsidRPr="006C520E">
              <w:rPr>
                <w:szCs w:val="24"/>
              </w:rPr>
              <w:t>0.000</w:t>
            </w:r>
          </w:p>
        </w:tc>
      </w:tr>
      <w:tr w:rsidR="00C26C73" w:rsidRPr="006C520E" w14:paraId="240D93C4" w14:textId="77777777" w:rsidTr="00572EE0">
        <w:tc>
          <w:tcPr>
            <w:tcW w:w="435" w:type="pct"/>
            <w:tcBorders>
              <w:bottom w:val="single" w:sz="4" w:space="0" w:color="auto"/>
            </w:tcBorders>
            <w:vAlign w:val="center"/>
          </w:tcPr>
          <w:p w14:paraId="2B9A4BE9" w14:textId="37EA800C" w:rsidR="00C26C73" w:rsidRPr="006C520E" w:rsidRDefault="00C26C73" w:rsidP="00D1178D">
            <w:pPr>
              <w:jc w:val="center"/>
              <w:rPr>
                <w:szCs w:val="24"/>
              </w:rPr>
            </w:pPr>
            <w:r w:rsidRPr="006C520E">
              <w:rPr>
                <w:szCs w:val="24"/>
              </w:rPr>
              <w:t>4</w:t>
            </w:r>
          </w:p>
        </w:tc>
        <w:tc>
          <w:tcPr>
            <w:tcW w:w="483" w:type="pct"/>
            <w:tcBorders>
              <w:bottom w:val="single" w:sz="4" w:space="0" w:color="auto"/>
            </w:tcBorders>
            <w:vAlign w:val="center"/>
          </w:tcPr>
          <w:p w14:paraId="32B5F5DB" w14:textId="77777777" w:rsidR="00C26C73" w:rsidRPr="006C520E" w:rsidRDefault="00C26C73" w:rsidP="00D1178D">
            <w:pPr>
              <w:jc w:val="center"/>
              <w:rPr>
                <w:szCs w:val="24"/>
              </w:rPr>
            </w:pPr>
          </w:p>
        </w:tc>
        <w:tc>
          <w:tcPr>
            <w:tcW w:w="483" w:type="pct"/>
            <w:tcBorders>
              <w:bottom w:val="single" w:sz="4" w:space="0" w:color="auto"/>
            </w:tcBorders>
            <w:vAlign w:val="center"/>
          </w:tcPr>
          <w:p w14:paraId="09A58E35" w14:textId="4CF6597D" w:rsidR="00C26C73" w:rsidRPr="006C520E" w:rsidRDefault="00C26C73" w:rsidP="00D1178D">
            <w:pPr>
              <w:jc w:val="center"/>
              <w:rPr>
                <w:szCs w:val="24"/>
              </w:rPr>
            </w:pPr>
            <w:r w:rsidRPr="006C520E">
              <w:rPr>
                <w:szCs w:val="24"/>
              </w:rPr>
              <w:t>0.000</w:t>
            </w:r>
          </w:p>
        </w:tc>
        <w:tc>
          <w:tcPr>
            <w:tcW w:w="701" w:type="pct"/>
            <w:tcBorders>
              <w:bottom w:val="single" w:sz="4" w:space="0" w:color="auto"/>
            </w:tcBorders>
            <w:vAlign w:val="center"/>
          </w:tcPr>
          <w:p w14:paraId="2F4D2AD9" w14:textId="77777777" w:rsidR="00C26C73" w:rsidRPr="006C520E" w:rsidRDefault="00C26C73" w:rsidP="00D1178D">
            <w:pPr>
              <w:jc w:val="center"/>
              <w:rPr>
                <w:szCs w:val="24"/>
              </w:rPr>
            </w:pPr>
          </w:p>
        </w:tc>
        <w:tc>
          <w:tcPr>
            <w:tcW w:w="483" w:type="pct"/>
            <w:tcBorders>
              <w:bottom w:val="single" w:sz="4" w:space="0" w:color="auto"/>
            </w:tcBorders>
            <w:vAlign w:val="center"/>
          </w:tcPr>
          <w:p w14:paraId="3E718506" w14:textId="77777777" w:rsidR="00C26C73" w:rsidRPr="006C520E" w:rsidRDefault="00C26C73" w:rsidP="00D1178D">
            <w:pPr>
              <w:jc w:val="center"/>
              <w:rPr>
                <w:szCs w:val="24"/>
              </w:rPr>
            </w:pPr>
          </w:p>
        </w:tc>
        <w:tc>
          <w:tcPr>
            <w:tcW w:w="483" w:type="pct"/>
            <w:tcBorders>
              <w:bottom w:val="single" w:sz="4" w:space="0" w:color="auto"/>
            </w:tcBorders>
            <w:vAlign w:val="center"/>
          </w:tcPr>
          <w:p w14:paraId="240907E1" w14:textId="77777777" w:rsidR="00C26C73" w:rsidRPr="006C520E" w:rsidRDefault="00C26C73" w:rsidP="00D1178D">
            <w:pPr>
              <w:jc w:val="center"/>
              <w:rPr>
                <w:szCs w:val="24"/>
              </w:rPr>
            </w:pPr>
          </w:p>
        </w:tc>
        <w:tc>
          <w:tcPr>
            <w:tcW w:w="483" w:type="pct"/>
            <w:tcBorders>
              <w:bottom w:val="single" w:sz="4" w:space="0" w:color="auto"/>
            </w:tcBorders>
            <w:vAlign w:val="center"/>
          </w:tcPr>
          <w:p w14:paraId="368BEE9A" w14:textId="6ED627A4" w:rsidR="00C26C73" w:rsidRPr="006C520E" w:rsidRDefault="00C26C73" w:rsidP="00D1178D">
            <w:pPr>
              <w:jc w:val="center"/>
              <w:rPr>
                <w:szCs w:val="24"/>
              </w:rPr>
            </w:pPr>
            <w:r w:rsidRPr="006C520E">
              <w:rPr>
                <w:szCs w:val="24"/>
              </w:rPr>
              <w:t>0.000</w:t>
            </w:r>
          </w:p>
        </w:tc>
        <w:tc>
          <w:tcPr>
            <w:tcW w:w="483" w:type="pct"/>
            <w:tcBorders>
              <w:bottom w:val="single" w:sz="4" w:space="0" w:color="auto"/>
            </w:tcBorders>
            <w:vAlign w:val="center"/>
          </w:tcPr>
          <w:p w14:paraId="09800E45" w14:textId="459D1719" w:rsidR="00C26C73" w:rsidRPr="006C520E" w:rsidRDefault="00C26C73" w:rsidP="00D1178D">
            <w:pPr>
              <w:jc w:val="center"/>
              <w:rPr>
                <w:szCs w:val="24"/>
              </w:rPr>
            </w:pPr>
          </w:p>
        </w:tc>
        <w:tc>
          <w:tcPr>
            <w:tcW w:w="483" w:type="pct"/>
            <w:tcBorders>
              <w:bottom w:val="single" w:sz="4" w:space="0" w:color="auto"/>
            </w:tcBorders>
            <w:vAlign w:val="center"/>
          </w:tcPr>
          <w:p w14:paraId="10B02424" w14:textId="77777777" w:rsidR="00C26C73" w:rsidRPr="006C520E" w:rsidRDefault="00C26C73" w:rsidP="00D1178D">
            <w:pPr>
              <w:jc w:val="center"/>
              <w:rPr>
                <w:szCs w:val="24"/>
              </w:rPr>
            </w:pPr>
          </w:p>
        </w:tc>
        <w:tc>
          <w:tcPr>
            <w:tcW w:w="483" w:type="pct"/>
            <w:tcBorders>
              <w:bottom w:val="single" w:sz="4" w:space="0" w:color="auto"/>
            </w:tcBorders>
            <w:vAlign w:val="center"/>
          </w:tcPr>
          <w:p w14:paraId="50673FF6" w14:textId="63CEDF88" w:rsidR="00C26C73" w:rsidRPr="006C520E" w:rsidRDefault="00C26C73" w:rsidP="00D1178D">
            <w:pPr>
              <w:jc w:val="center"/>
              <w:rPr>
                <w:szCs w:val="24"/>
              </w:rPr>
            </w:pPr>
            <w:r w:rsidRPr="006C520E">
              <w:rPr>
                <w:szCs w:val="24"/>
              </w:rPr>
              <w:t>0.000</w:t>
            </w:r>
          </w:p>
        </w:tc>
      </w:tr>
      <w:tr w:rsidR="00C26C73" w:rsidRPr="006C520E" w14:paraId="49F4F425" w14:textId="77777777" w:rsidTr="00572EE0">
        <w:tc>
          <w:tcPr>
            <w:tcW w:w="5000" w:type="pct"/>
            <w:gridSpan w:val="10"/>
            <w:tcBorders>
              <w:top w:val="single" w:sz="4" w:space="0" w:color="auto"/>
              <w:bottom w:val="single" w:sz="4" w:space="0" w:color="auto"/>
            </w:tcBorders>
            <w:vAlign w:val="center"/>
          </w:tcPr>
          <w:p w14:paraId="50FE61A6" w14:textId="0B7BBA15" w:rsidR="00C26C73" w:rsidRPr="006C520E" w:rsidRDefault="00C26C73" w:rsidP="00D1178D">
            <w:pPr>
              <w:jc w:val="center"/>
              <w:rPr>
                <w:rFonts w:eastAsia="Calibri" w:cs="Arial"/>
              </w:rPr>
            </w:pPr>
            <w:r w:rsidRPr="006C520E">
              <w:rPr>
                <w:rFonts w:eastAsia="Calibri" w:cs="Arial"/>
              </w:rPr>
              <w:t>Model II</w:t>
            </w:r>
          </w:p>
        </w:tc>
      </w:tr>
      <w:tr w:rsidR="00D1178D" w:rsidRPr="006C520E" w14:paraId="32AFCBD2" w14:textId="77777777" w:rsidTr="00572EE0">
        <w:tc>
          <w:tcPr>
            <w:tcW w:w="435" w:type="pct"/>
            <w:tcBorders>
              <w:top w:val="single" w:sz="4" w:space="0" w:color="auto"/>
            </w:tcBorders>
            <w:vAlign w:val="center"/>
          </w:tcPr>
          <w:p w14:paraId="55471D49" w14:textId="77777777" w:rsidR="00D1178D" w:rsidRPr="006C520E" w:rsidRDefault="00D1178D" w:rsidP="00D1178D">
            <w:pPr>
              <w:jc w:val="center"/>
              <w:rPr>
                <w:szCs w:val="24"/>
              </w:rPr>
            </w:pPr>
            <w:r w:rsidRPr="006C520E">
              <w:rPr>
                <w:szCs w:val="24"/>
              </w:rPr>
              <w:t>0</w:t>
            </w:r>
          </w:p>
        </w:tc>
        <w:tc>
          <w:tcPr>
            <w:tcW w:w="483" w:type="pct"/>
            <w:tcBorders>
              <w:top w:val="single" w:sz="4" w:space="0" w:color="auto"/>
            </w:tcBorders>
            <w:vAlign w:val="center"/>
          </w:tcPr>
          <w:p w14:paraId="243B5E4D" w14:textId="1592430E"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49D6F37" w14:textId="77777777" w:rsidR="00D1178D" w:rsidRPr="006C520E" w:rsidRDefault="00D1178D" w:rsidP="00D1178D">
            <w:pPr>
              <w:jc w:val="center"/>
              <w:rPr>
                <w:szCs w:val="24"/>
              </w:rPr>
            </w:pPr>
            <w:r w:rsidRPr="006C520E">
              <w:rPr>
                <w:szCs w:val="24"/>
              </w:rPr>
              <w:t>0.000</w:t>
            </w:r>
          </w:p>
        </w:tc>
        <w:tc>
          <w:tcPr>
            <w:tcW w:w="701" w:type="pct"/>
            <w:tcBorders>
              <w:top w:val="single" w:sz="4" w:space="0" w:color="auto"/>
            </w:tcBorders>
            <w:vAlign w:val="center"/>
          </w:tcPr>
          <w:p w14:paraId="76C05024" w14:textId="14327C7F"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4ACF7A00"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48834D5"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485F9942"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6875691"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6110A721"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56E88E81" w14:textId="77777777" w:rsidR="00D1178D" w:rsidRPr="006C520E" w:rsidRDefault="00D1178D" w:rsidP="00D1178D">
            <w:pPr>
              <w:jc w:val="center"/>
              <w:rPr>
                <w:szCs w:val="24"/>
              </w:rPr>
            </w:pPr>
            <w:r w:rsidRPr="006C520E">
              <w:rPr>
                <w:szCs w:val="24"/>
              </w:rPr>
              <w:t>0.000</w:t>
            </w:r>
          </w:p>
        </w:tc>
      </w:tr>
      <w:tr w:rsidR="00D1178D" w:rsidRPr="006C520E" w14:paraId="445C51AA" w14:textId="77777777" w:rsidTr="00572EE0">
        <w:tc>
          <w:tcPr>
            <w:tcW w:w="435" w:type="pct"/>
            <w:vAlign w:val="center"/>
          </w:tcPr>
          <w:p w14:paraId="1D2B12C7" w14:textId="77777777" w:rsidR="00D1178D" w:rsidRPr="006C520E" w:rsidRDefault="00D1178D" w:rsidP="00D1178D">
            <w:pPr>
              <w:jc w:val="center"/>
              <w:rPr>
                <w:szCs w:val="24"/>
              </w:rPr>
            </w:pPr>
            <w:r w:rsidRPr="006C520E">
              <w:rPr>
                <w:szCs w:val="24"/>
              </w:rPr>
              <w:t>1</w:t>
            </w:r>
          </w:p>
        </w:tc>
        <w:tc>
          <w:tcPr>
            <w:tcW w:w="483" w:type="pct"/>
            <w:vAlign w:val="center"/>
          </w:tcPr>
          <w:p w14:paraId="187C2DD1" w14:textId="0B710D78" w:rsidR="00D1178D" w:rsidRPr="006C520E" w:rsidRDefault="00D1178D" w:rsidP="00D1178D">
            <w:pPr>
              <w:jc w:val="center"/>
              <w:rPr>
                <w:szCs w:val="24"/>
              </w:rPr>
            </w:pPr>
            <w:r w:rsidRPr="006C520E">
              <w:rPr>
                <w:szCs w:val="24"/>
              </w:rPr>
              <w:t>0.000</w:t>
            </w:r>
          </w:p>
        </w:tc>
        <w:tc>
          <w:tcPr>
            <w:tcW w:w="483" w:type="pct"/>
            <w:vAlign w:val="center"/>
          </w:tcPr>
          <w:p w14:paraId="6EF67660" w14:textId="77777777" w:rsidR="00D1178D" w:rsidRPr="006C520E" w:rsidRDefault="00D1178D" w:rsidP="00D1178D">
            <w:pPr>
              <w:jc w:val="center"/>
              <w:rPr>
                <w:szCs w:val="24"/>
              </w:rPr>
            </w:pPr>
            <w:r w:rsidRPr="006C520E">
              <w:rPr>
                <w:szCs w:val="24"/>
              </w:rPr>
              <w:t>0.000</w:t>
            </w:r>
          </w:p>
        </w:tc>
        <w:tc>
          <w:tcPr>
            <w:tcW w:w="701" w:type="pct"/>
            <w:vAlign w:val="center"/>
          </w:tcPr>
          <w:p w14:paraId="00283DB6" w14:textId="6FDEE342" w:rsidR="00D1178D" w:rsidRPr="006C520E" w:rsidRDefault="00D1178D" w:rsidP="00D1178D">
            <w:pPr>
              <w:jc w:val="center"/>
              <w:rPr>
                <w:szCs w:val="24"/>
              </w:rPr>
            </w:pPr>
            <w:r w:rsidRPr="006C520E">
              <w:rPr>
                <w:szCs w:val="24"/>
              </w:rPr>
              <w:t>0.000</w:t>
            </w:r>
          </w:p>
        </w:tc>
        <w:tc>
          <w:tcPr>
            <w:tcW w:w="483" w:type="pct"/>
            <w:vAlign w:val="center"/>
          </w:tcPr>
          <w:p w14:paraId="22D413E9" w14:textId="77777777" w:rsidR="00D1178D" w:rsidRPr="006C520E" w:rsidRDefault="00D1178D" w:rsidP="00D1178D">
            <w:pPr>
              <w:jc w:val="center"/>
              <w:rPr>
                <w:szCs w:val="24"/>
              </w:rPr>
            </w:pPr>
            <w:r w:rsidRPr="006C520E">
              <w:rPr>
                <w:szCs w:val="24"/>
              </w:rPr>
              <w:t>0.000</w:t>
            </w:r>
          </w:p>
        </w:tc>
        <w:tc>
          <w:tcPr>
            <w:tcW w:w="483" w:type="pct"/>
            <w:vAlign w:val="center"/>
          </w:tcPr>
          <w:p w14:paraId="3D0C8C3E" w14:textId="77777777" w:rsidR="00D1178D" w:rsidRPr="006C520E" w:rsidRDefault="00D1178D" w:rsidP="00D1178D">
            <w:pPr>
              <w:jc w:val="center"/>
              <w:rPr>
                <w:szCs w:val="24"/>
              </w:rPr>
            </w:pPr>
            <w:r w:rsidRPr="006C520E">
              <w:rPr>
                <w:szCs w:val="24"/>
              </w:rPr>
              <w:t>0.000</w:t>
            </w:r>
          </w:p>
        </w:tc>
        <w:tc>
          <w:tcPr>
            <w:tcW w:w="483" w:type="pct"/>
            <w:vAlign w:val="center"/>
          </w:tcPr>
          <w:p w14:paraId="256CEA09" w14:textId="77777777" w:rsidR="00D1178D" w:rsidRPr="006C520E" w:rsidRDefault="00D1178D" w:rsidP="00D1178D">
            <w:pPr>
              <w:jc w:val="center"/>
              <w:rPr>
                <w:szCs w:val="24"/>
              </w:rPr>
            </w:pPr>
            <w:r w:rsidRPr="006C520E">
              <w:rPr>
                <w:szCs w:val="24"/>
              </w:rPr>
              <w:t>0.000</w:t>
            </w:r>
          </w:p>
        </w:tc>
        <w:tc>
          <w:tcPr>
            <w:tcW w:w="483" w:type="pct"/>
            <w:vAlign w:val="center"/>
          </w:tcPr>
          <w:p w14:paraId="5E5B27FF" w14:textId="317F5CA8" w:rsidR="00D1178D" w:rsidRPr="006C520E" w:rsidRDefault="00D1178D" w:rsidP="00D1178D">
            <w:pPr>
              <w:jc w:val="center"/>
              <w:rPr>
                <w:szCs w:val="24"/>
              </w:rPr>
            </w:pPr>
          </w:p>
        </w:tc>
        <w:tc>
          <w:tcPr>
            <w:tcW w:w="483" w:type="pct"/>
            <w:vAlign w:val="center"/>
          </w:tcPr>
          <w:p w14:paraId="6A1A3B79" w14:textId="77777777" w:rsidR="00D1178D" w:rsidRPr="006C520E" w:rsidRDefault="00D1178D" w:rsidP="00D1178D">
            <w:pPr>
              <w:jc w:val="center"/>
              <w:rPr>
                <w:szCs w:val="24"/>
              </w:rPr>
            </w:pPr>
            <w:r w:rsidRPr="006C520E">
              <w:rPr>
                <w:szCs w:val="24"/>
              </w:rPr>
              <w:t>0.000</w:t>
            </w:r>
          </w:p>
        </w:tc>
        <w:tc>
          <w:tcPr>
            <w:tcW w:w="483" w:type="pct"/>
            <w:vAlign w:val="center"/>
          </w:tcPr>
          <w:p w14:paraId="0B6888FF" w14:textId="77777777" w:rsidR="00D1178D" w:rsidRPr="006C520E" w:rsidRDefault="00D1178D" w:rsidP="00D1178D">
            <w:pPr>
              <w:jc w:val="center"/>
              <w:rPr>
                <w:szCs w:val="24"/>
              </w:rPr>
            </w:pPr>
            <w:r w:rsidRPr="006C520E">
              <w:rPr>
                <w:szCs w:val="24"/>
              </w:rPr>
              <w:t>0.000</w:t>
            </w:r>
          </w:p>
        </w:tc>
      </w:tr>
      <w:tr w:rsidR="00D1178D" w:rsidRPr="006C520E" w14:paraId="75627801" w14:textId="77777777" w:rsidTr="00572EE0">
        <w:tc>
          <w:tcPr>
            <w:tcW w:w="435" w:type="pct"/>
            <w:vAlign w:val="center"/>
          </w:tcPr>
          <w:p w14:paraId="24B5B4FC" w14:textId="77777777" w:rsidR="00D1178D" w:rsidRPr="006C520E" w:rsidRDefault="00D1178D" w:rsidP="00D1178D">
            <w:pPr>
              <w:jc w:val="center"/>
              <w:rPr>
                <w:szCs w:val="24"/>
              </w:rPr>
            </w:pPr>
            <w:r w:rsidRPr="006C520E">
              <w:rPr>
                <w:szCs w:val="24"/>
              </w:rPr>
              <w:t>2</w:t>
            </w:r>
          </w:p>
        </w:tc>
        <w:tc>
          <w:tcPr>
            <w:tcW w:w="483" w:type="pct"/>
            <w:vAlign w:val="center"/>
          </w:tcPr>
          <w:p w14:paraId="69ECF34C" w14:textId="291B05BF" w:rsidR="00D1178D" w:rsidRPr="006C520E" w:rsidRDefault="00D1178D" w:rsidP="00D1178D">
            <w:pPr>
              <w:jc w:val="center"/>
              <w:rPr>
                <w:szCs w:val="24"/>
              </w:rPr>
            </w:pPr>
            <w:r w:rsidRPr="006C520E">
              <w:rPr>
                <w:szCs w:val="24"/>
              </w:rPr>
              <w:t>0.000</w:t>
            </w:r>
          </w:p>
        </w:tc>
        <w:tc>
          <w:tcPr>
            <w:tcW w:w="483" w:type="pct"/>
            <w:vAlign w:val="center"/>
          </w:tcPr>
          <w:p w14:paraId="423E9CF3" w14:textId="77777777" w:rsidR="00D1178D" w:rsidRPr="006C520E" w:rsidRDefault="00D1178D" w:rsidP="00D1178D">
            <w:pPr>
              <w:jc w:val="center"/>
              <w:rPr>
                <w:szCs w:val="24"/>
              </w:rPr>
            </w:pPr>
            <w:r w:rsidRPr="006C520E">
              <w:rPr>
                <w:szCs w:val="24"/>
              </w:rPr>
              <w:t>0.000</w:t>
            </w:r>
          </w:p>
        </w:tc>
        <w:tc>
          <w:tcPr>
            <w:tcW w:w="701" w:type="pct"/>
            <w:vAlign w:val="center"/>
          </w:tcPr>
          <w:p w14:paraId="7717F728" w14:textId="54C153FC" w:rsidR="00D1178D" w:rsidRPr="006C520E" w:rsidRDefault="00D1178D" w:rsidP="00D1178D">
            <w:pPr>
              <w:jc w:val="center"/>
              <w:rPr>
                <w:szCs w:val="24"/>
              </w:rPr>
            </w:pPr>
            <w:r w:rsidRPr="006C520E">
              <w:rPr>
                <w:szCs w:val="24"/>
              </w:rPr>
              <w:t>0.000</w:t>
            </w:r>
          </w:p>
        </w:tc>
        <w:tc>
          <w:tcPr>
            <w:tcW w:w="483" w:type="pct"/>
            <w:vAlign w:val="center"/>
          </w:tcPr>
          <w:p w14:paraId="6D71B469" w14:textId="77777777" w:rsidR="00D1178D" w:rsidRPr="006C520E" w:rsidRDefault="00D1178D" w:rsidP="00D1178D">
            <w:pPr>
              <w:jc w:val="center"/>
              <w:rPr>
                <w:szCs w:val="24"/>
              </w:rPr>
            </w:pPr>
            <w:r w:rsidRPr="006C520E">
              <w:rPr>
                <w:szCs w:val="24"/>
              </w:rPr>
              <w:t>0.000</w:t>
            </w:r>
          </w:p>
        </w:tc>
        <w:tc>
          <w:tcPr>
            <w:tcW w:w="483" w:type="pct"/>
            <w:vAlign w:val="center"/>
          </w:tcPr>
          <w:p w14:paraId="3E231C27" w14:textId="77777777" w:rsidR="00D1178D" w:rsidRPr="006C520E" w:rsidRDefault="00D1178D" w:rsidP="00D1178D">
            <w:pPr>
              <w:jc w:val="center"/>
              <w:rPr>
                <w:szCs w:val="24"/>
              </w:rPr>
            </w:pPr>
            <w:r w:rsidRPr="006C520E">
              <w:rPr>
                <w:szCs w:val="24"/>
              </w:rPr>
              <w:t>0.000</w:t>
            </w:r>
          </w:p>
        </w:tc>
        <w:tc>
          <w:tcPr>
            <w:tcW w:w="483" w:type="pct"/>
            <w:vAlign w:val="center"/>
          </w:tcPr>
          <w:p w14:paraId="63FBCF52" w14:textId="77777777" w:rsidR="00D1178D" w:rsidRPr="006C520E" w:rsidRDefault="00D1178D" w:rsidP="00D1178D">
            <w:pPr>
              <w:jc w:val="center"/>
              <w:rPr>
                <w:szCs w:val="24"/>
              </w:rPr>
            </w:pPr>
            <w:r w:rsidRPr="006C520E">
              <w:rPr>
                <w:szCs w:val="24"/>
              </w:rPr>
              <w:t>0.000</w:t>
            </w:r>
          </w:p>
        </w:tc>
        <w:tc>
          <w:tcPr>
            <w:tcW w:w="483" w:type="pct"/>
            <w:vAlign w:val="center"/>
          </w:tcPr>
          <w:p w14:paraId="4E4D5DBF" w14:textId="7E1261B5" w:rsidR="00D1178D" w:rsidRPr="006C520E" w:rsidRDefault="00D1178D" w:rsidP="00D1178D">
            <w:pPr>
              <w:jc w:val="center"/>
              <w:rPr>
                <w:szCs w:val="24"/>
              </w:rPr>
            </w:pPr>
          </w:p>
        </w:tc>
        <w:tc>
          <w:tcPr>
            <w:tcW w:w="483" w:type="pct"/>
            <w:vAlign w:val="center"/>
          </w:tcPr>
          <w:p w14:paraId="091243E1" w14:textId="77777777" w:rsidR="00D1178D" w:rsidRPr="006C520E" w:rsidRDefault="00D1178D" w:rsidP="00D1178D">
            <w:pPr>
              <w:jc w:val="center"/>
              <w:rPr>
                <w:szCs w:val="24"/>
              </w:rPr>
            </w:pPr>
            <w:r w:rsidRPr="006C520E">
              <w:rPr>
                <w:szCs w:val="24"/>
              </w:rPr>
              <w:t>0.000</w:t>
            </w:r>
          </w:p>
        </w:tc>
        <w:tc>
          <w:tcPr>
            <w:tcW w:w="483" w:type="pct"/>
            <w:vAlign w:val="center"/>
          </w:tcPr>
          <w:p w14:paraId="1CC2B9E6" w14:textId="77777777" w:rsidR="00D1178D" w:rsidRPr="006C520E" w:rsidRDefault="00D1178D" w:rsidP="00D1178D">
            <w:pPr>
              <w:jc w:val="center"/>
              <w:rPr>
                <w:szCs w:val="24"/>
              </w:rPr>
            </w:pPr>
            <w:r w:rsidRPr="006C520E">
              <w:rPr>
                <w:szCs w:val="24"/>
              </w:rPr>
              <w:t>0.000</w:t>
            </w:r>
          </w:p>
        </w:tc>
      </w:tr>
      <w:tr w:rsidR="00D1178D" w:rsidRPr="006C520E" w14:paraId="70100AFB" w14:textId="77777777" w:rsidTr="00572EE0">
        <w:tc>
          <w:tcPr>
            <w:tcW w:w="435" w:type="pct"/>
            <w:vAlign w:val="center"/>
          </w:tcPr>
          <w:p w14:paraId="5DA2BB31" w14:textId="77777777" w:rsidR="00D1178D" w:rsidRPr="006C520E" w:rsidRDefault="00D1178D" w:rsidP="00D1178D">
            <w:pPr>
              <w:jc w:val="center"/>
              <w:rPr>
                <w:szCs w:val="24"/>
              </w:rPr>
            </w:pPr>
            <w:r w:rsidRPr="006C520E">
              <w:rPr>
                <w:szCs w:val="24"/>
              </w:rPr>
              <w:t>3</w:t>
            </w:r>
          </w:p>
        </w:tc>
        <w:tc>
          <w:tcPr>
            <w:tcW w:w="483" w:type="pct"/>
            <w:vAlign w:val="center"/>
          </w:tcPr>
          <w:p w14:paraId="46F43851" w14:textId="0CB83B8B" w:rsidR="00D1178D" w:rsidRPr="006C520E" w:rsidRDefault="00D1178D" w:rsidP="00D1178D">
            <w:pPr>
              <w:jc w:val="center"/>
              <w:rPr>
                <w:szCs w:val="24"/>
              </w:rPr>
            </w:pPr>
            <w:r w:rsidRPr="006C520E">
              <w:rPr>
                <w:szCs w:val="24"/>
              </w:rPr>
              <w:t>0.000</w:t>
            </w:r>
          </w:p>
        </w:tc>
        <w:tc>
          <w:tcPr>
            <w:tcW w:w="483" w:type="pct"/>
            <w:vAlign w:val="center"/>
          </w:tcPr>
          <w:p w14:paraId="22215C63" w14:textId="77777777" w:rsidR="00D1178D" w:rsidRPr="006C520E" w:rsidRDefault="00D1178D" w:rsidP="00D1178D">
            <w:pPr>
              <w:jc w:val="center"/>
              <w:rPr>
                <w:szCs w:val="24"/>
              </w:rPr>
            </w:pPr>
            <w:r w:rsidRPr="006C520E">
              <w:rPr>
                <w:szCs w:val="24"/>
              </w:rPr>
              <w:t>0.000</w:t>
            </w:r>
          </w:p>
        </w:tc>
        <w:tc>
          <w:tcPr>
            <w:tcW w:w="701" w:type="pct"/>
            <w:vAlign w:val="center"/>
          </w:tcPr>
          <w:p w14:paraId="74E1F716" w14:textId="17BFD1E0" w:rsidR="00D1178D" w:rsidRPr="006C520E" w:rsidRDefault="00D1178D" w:rsidP="00D1178D">
            <w:pPr>
              <w:jc w:val="center"/>
              <w:rPr>
                <w:szCs w:val="24"/>
              </w:rPr>
            </w:pPr>
            <w:r w:rsidRPr="006C520E">
              <w:rPr>
                <w:szCs w:val="24"/>
              </w:rPr>
              <w:t>0.000</w:t>
            </w:r>
          </w:p>
        </w:tc>
        <w:tc>
          <w:tcPr>
            <w:tcW w:w="483" w:type="pct"/>
            <w:vAlign w:val="center"/>
          </w:tcPr>
          <w:p w14:paraId="1BD0FEE1" w14:textId="77777777" w:rsidR="00D1178D" w:rsidRPr="006C520E" w:rsidRDefault="00D1178D" w:rsidP="00D1178D">
            <w:pPr>
              <w:jc w:val="center"/>
              <w:rPr>
                <w:szCs w:val="24"/>
              </w:rPr>
            </w:pPr>
          </w:p>
        </w:tc>
        <w:tc>
          <w:tcPr>
            <w:tcW w:w="483" w:type="pct"/>
            <w:vAlign w:val="center"/>
          </w:tcPr>
          <w:p w14:paraId="3BCEC931" w14:textId="77777777" w:rsidR="00D1178D" w:rsidRPr="006C520E" w:rsidRDefault="00D1178D" w:rsidP="00D1178D">
            <w:pPr>
              <w:jc w:val="center"/>
              <w:rPr>
                <w:szCs w:val="24"/>
              </w:rPr>
            </w:pPr>
          </w:p>
        </w:tc>
        <w:tc>
          <w:tcPr>
            <w:tcW w:w="483" w:type="pct"/>
            <w:vAlign w:val="center"/>
          </w:tcPr>
          <w:p w14:paraId="07093346" w14:textId="77777777" w:rsidR="00D1178D" w:rsidRPr="006C520E" w:rsidRDefault="00D1178D" w:rsidP="00D1178D">
            <w:pPr>
              <w:jc w:val="center"/>
              <w:rPr>
                <w:szCs w:val="24"/>
              </w:rPr>
            </w:pPr>
            <w:r w:rsidRPr="006C520E">
              <w:rPr>
                <w:szCs w:val="24"/>
              </w:rPr>
              <w:t>0.000</w:t>
            </w:r>
          </w:p>
        </w:tc>
        <w:tc>
          <w:tcPr>
            <w:tcW w:w="483" w:type="pct"/>
            <w:vAlign w:val="center"/>
          </w:tcPr>
          <w:p w14:paraId="0700A913" w14:textId="77777777" w:rsidR="00D1178D" w:rsidRPr="006C520E" w:rsidRDefault="00D1178D" w:rsidP="00D1178D">
            <w:pPr>
              <w:jc w:val="center"/>
              <w:rPr>
                <w:szCs w:val="24"/>
              </w:rPr>
            </w:pPr>
          </w:p>
        </w:tc>
        <w:tc>
          <w:tcPr>
            <w:tcW w:w="483" w:type="pct"/>
            <w:vAlign w:val="center"/>
          </w:tcPr>
          <w:p w14:paraId="3F62EA8F" w14:textId="77777777" w:rsidR="00D1178D" w:rsidRPr="006C520E" w:rsidRDefault="00D1178D" w:rsidP="00D1178D">
            <w:pPr>
              <w:jc w:val="center"/>
              <w:rPr>
                <w:szCs w:val="24"/>
              </w:rPr>
            </w:pPr>
          </w:p>
        </w:tc>
        <w:tc>
          <w:tcPr>
            <w:tcW w:w="483" w:type="pct"/>
            <w:vAlign w:val="center"/>
          </w:tcPr>
          <w:p w14:paraId="50CD53AE" w14:textId="77777777" w:rsidR="00D1178D" w:rsidRPr="006C520E" w:rsidRDefault="00D1178D" w:rsidP="00D1178D">
            <w:pPr>
              <w:jc w:val="center"/>
              <w:rPr>
                <w:szCs w:val="24"/>
              </w:rPr>
            </w:pPr>
            <w:r w:rsidRPr="006C520E">
              <w:rPr>
                <w:szCs w:val="24"/>
              </w:rPr>
              <w:t>0.000</w:t>
            </w:r>
          </w:p>
        </w:tc>
      </w:tr>
      <w:tr w:rsidR="00D1178D" w:rsidRPr="006C520E" w14:paraId="2E7F4714" w14:textId="77777777" w:rsidTr="00572EE0">
        <w:tc>
          <w:tcPr>
            <w:tcW w:w="435" w:type="pct"/>
            <w:tcBorders>
              <w:bottom w:val="single" w:sz="4" w:space="0" w:color="auto"/>
            </w:tcBorders>
            <w:vAlign w:val="center"/>
          </w:tcPr>
          <w:p w14:paraId="3282380B" w14:textId="77777777" w:rsidR="00D1178D" w:rsidRPr="006C520E" w:rsidRDefault="00D1178D" w:rsidP="00D1178D">
            <w:pPr>
              <w:jc w:val="center"/>
              <w:rPr>
                <w:szCs w:val="24"/>
              </w:rPr>
            </w:pPr>
            <w:r w:rsidRPr="006C520E">
              <w:rPr>
                <w:szCs w:val="24"/>
              </w:rPr>
              <w:t>4</w:t>
            </w:r>
          </w:p>
        </w:tc>
        <w:tc>
          <w:tcPr>
            <w:tcW w:w="483" w:type="pct"/>
            <w:tcBorders>
              <w:bottom w:val="single" w:sz="4" w:space="0" w:color="auto"/>
            </w:tcBorders>
            <w:vAlign w:val="center"/>
          </w:tcPr>
          <w:p w14:paraId="48ACD763" w14:textId="12D0FE18" w:rsidR="00D1178D" w:rsidRPr="006C520E" w:rsidRDefault="00D1178D" w:rsidP="00D1178D">
            <w:pPr>
              <w:jc w:val="center"/>
              <w:rPr>
                <w:szCs w:val="24"/>
              </w:rPr>
            </w:pPr>
            <w:r w:rsidRPr="006C520E">
              <w:rPr>
                <w:szCs w:val="24"/>
              </w:rPr>
              <w:t>0.000</w:t>
            </w:r>
          </w:p>
        </w:tc>
        <w:tc>
          <w:tcPr>
            <w:tcW w:w="483" w:type="pct"/>
            <w:tcBorders>
              <w:bottom w:val="single" w:sz="4" w:space="0" w:color="auto"/>
            </w:tcBorders>
            <w:vAlign w:val="center"/>
          </w:tcPr>
          <w:p w14:paraId="29CFBF31" w14:textId="77777777" w:rsidR="00D1178D" w:rsidRPr="006C520E" w:rsidRDefault="00D1178D" w:rsidP="00D1178D">
            <w:pPr>
              <w:jc w:val="center"/>
              <w:rPr>
                <w:szCs w:val="24"/>
              </w:rPr>
            </w:pPr>
            <w:r w:rsidRPr="006C520E">
              <w:rPr>
                <w:szCs w:val="24"/>
              </w:rPr>
              <w:t>0.000</w:t>
            </w:r>
          </w:p>
        </w:tc>
        <w:tc>
          <w:tcPr>
            <w:tcW w:w="701" w:type="pct"/>
            <w:tcBorders>
              <w:bottom w:val="single" w:sz="4" w:space="0" w:color="auto"/>
            </w:tcBorders>
            <w:vAlign w:val="center"/>
          </w:tcPr>
          <w:p w14:paraId="21E6868E" w14:textId="34E3445C" w:rsidR="00D1178D" w:rsidRPr="006C520E" w:rsidRDefault="00D1178D" w:rsidP="00D1178D">
            <w:pPr>
              <w:jc w:val="center"/>
              <w:rPr>
                <w:szCs w:val="24"/>
              </w:rPr>
            </w:pPr>
            <w:r w:rsidRPr="006C520E">
              <w:rPr>
                <w:szCs w:val="24"/>
              </w:rPr>
              <w:t>0.000</w:t>
            </w:r>
          </w:p>
        </w:tc>
        <w:tc>
          <w:tcPr>
            <w:tcW w:w="483" w:type="pct"/>
            <w:tcBorders>
              <w:bottom w:val="single" w:sz="4" w:space="0" w:color="auto"/>
            </w:tcBorders>
            <w:vAlign w:val="center"/>
          </w:tcPr>
          <w:p w14:paraId="23C4C191" w14:textId="77777777" w:rsidR="00D1178D" w:rsidRPr="006C520E" w:rsidRDefault="00D1178D" w:rsidP="00D1178D">
            <w:pPr>
              <w:jc w:val="center"/>
              <w:rPr>
                <w:szCs w:val="24"/>
              </w:rPr>
            </w:pPr>
          </w:p>
        </w:tc>
        <w:tc>
          <w:tcPr>
            <w:tcW w:w="483" w:type="pct"/>
            <w:tcBorders>
              <w:bottom w:val="single" w:sz="4" w:space="0" w:color="auto"/>
            </w:tcBorders>
            <w:vAlign w:val="center"/>
          </w:tcPr>
          <w:p w14:paraId="4E429232" w14:textId="77777777" w:rsidR="00D1178D" w:rsidRPr="006C520E" w:rsidRDefault="00D1178D" w:rsidP="00D1178D">
            <w:pPr>
              <w:jc w:val="center"/>
              <w:rPr>
                <w:szCs w:val="24"/>
              </w:rPr>
            </w:pPr>
          </w:p>
        </w:tc>
        <w:tc>
          <w:tcPr>
            <w:tcW w:w="483" w:type="pct"/>
            <w:tcBorders>
              <w:bottom w:val="single" w:sz="4" w:space="0" w:color="auto"/>
            </w:tcBorders>
            <w:vAlign w:val="center"/>
          </w:tcPr>
          <w:p w14:paraId="6AEF5CAE" w14:textId="77777777" w:rsidR="00D1178D" w:rsidRPr="006C520E" w:rsidRDefault="00D1178D" w:rsidP="00D1178D">
            <w:pPr>
              <w:jc w:val="center"/>
              <w:rPr>
                <w:szCs w:val="24"/>
              </w:rPr>
            </w:pPr>
            <w:r w:rsidRPr="006C520E">
              <w:rPr>
                <w:szCs w:val="24"/>
              </w:rPr>
              <w:t>0.000</w:t>
            </w:r>
          </w:p>
        </w:tc>
        <w:tc>
          <w:tcPr>
            <w:tcW w:w="483" w:type="pct"/>
            <w:tcBorders>
              <w:bottom w:val="single" w:sz="4" w:space="0" w:color="auto"/>
            </w:tcBorders>
            <w:vAlign w:val="center"/>
          </w:tcPr>
          <w:p w14:paraId="7BC37B37" w14:textId="77777777" w:rsidR="00D1178D" w:rsidRPr="006C520E" w:rsidRDefault="00D1178D" w:rsidP="00D1178D">
            <w:pPr>
              <w:jc w:val="center"/>
              <w:rPr>
                <w:szCs w:val="24"/>
              </w:rPr>
            </w:pPr>
          </w:p>
        </w:tc>
        <w:tc>
          <w:tcPr>
            <w:tcW w:w="483" w:type="pct"/>
            <w:tcBorders>
              <w:bottom w:val="single" w:sz="4" w:space="0" w:color="auto"/>
            </w:tcBorders>
            <w:vAlign w:val="center"/>
          </w:tcPr>
          <w:p w14:paraId="155ADE80" w14:textId="77777777" w:rsidR="00D1178D" w:rsidRPr="006C520E" w:rsidRDefault="00D1178D" w:rsidP="00D1178D">
            <w:pPr>
              <w:jc w:val="center"/>
              <w:rPr>
                <w:szCs w:val="24"/>
              </w:rPr>
            </w:pPr>
          </w:p>
        </w:tc>
        <w:tc>
          <w:tcPr>
            <w:tcW w:w="483" w:type="pct"/>
            <w:tcBorders>
              <w:bottom w:val="single" w:sz="4" w:space="0" w:color="auto"/>
            </w:tcBorders>
            <w:vAlign w:val="center"/>
          </w:tcPr>
          <w:p w14:paraId="5A168F2B" w14:textId="77777777" w:rsidR="00D1178D" w:rsidRPr="006C520E" w:rsidRDefault="00D1178D" w:rsidP="00D1178D">
            <w:pPr>
              <w:jc w:val="center"/>
              <w:rPr>
                <w:szCs w:val="24"/>
              </w:rPr>
            </w:pPr>
            <w:r w:rsidRPr="006C520E">
              <w:rPr>
                <w:szCs w:val="24"/>
              </w:rPr>
              <w:t>0.000</w:t>
            </w:r>
          </w:p>
        </w:tc>
      </w:tr>
      <w:tr w:rsidR="00D1178D" w:rsidRPr="006C520E" w14:paraId="5046BF44" w14:textId="77777777" w:rsidTr="00572EE0">
        <w:tc>
          <w:tcPr>
            <w:tcW w:w="5000" w:type="pct"/>
            <w:gridSpan w:val="10"/>
            <w:tcBorders>
              <w:top w:val="single" w:sz="4" w:space="0" w:color="auto"/>
              <w:bottom w:val="single" w:sz="4" w:space="0" w:color="auto"/>
            </w:tcBorders>
            <w:vAlign w:val="center"/>
          </w:tcPr>
          <w:p w14:paraId="316379DC" w14:textId="16426079" w:rsidR="00D1178D" w:rsidRPr="006C520E" w:rsidRDefault="00D1178D" w:rsidP="00D1178D">
            <w:pPr>
              <w:jc w:val="center"/>
              <w:rPr>
                <w:rFonts w:eastAsia="Calibri" w:cs="Arial"/>
              </w:rPr>
            </w:pPr>
            <w:r w:rsidRPr="006C520E">
              <w:rPr>
                <w:rFonts w:eastAsia="Calibri" w:cs="Arial"/>
              </w:rPr>
              <w:t>Model III</w:t>
            </w:r>
          </w:p>
        </w:tc>
      </w:tr>
      <w:tr w:rsidR="00D1178D" w:rsidRPr="006C520E" w14:paraId="13B3EA2E" w14:textId="77777777" w:rsidTr="00572EE0">
        <w:tc>
          <w:tcPr>
            <w:tcW w:w="435" w:type="pct"/>
            <w:tcBorders>
              <w:top w:val="single" w:sz="4" w:space="0" w:color="auto"/>
            </w:tcBorders>
            <w:vAlign w:val="center"/>
          </w:tcPr>
          <w:p w14:paraId="45248572" w14:textId="77777777" w:rsidR="00D1178D" w:rsidRPr="006C520E" w:rsidRDefault="00D1178D" w:rsidP="00D1178D">
            <w:pPr>
              <w:jc w:val="center"/>
              <w:rPr>
                <w:szCs w:val="24"/>
              </w:rPr>
            </w:pPr>
            <w:r w:rsidRPr="006C520E">
              <w:rPr>
                <w:szCs w:val="24"/>
              </w:rPr>
              <w:t>0</w:t>
            </w:r>
          </w:p>
        </w:tc>
        <w:tc>
          <w:tcPr>
            <w:tcW w:w="483" w:type="pct"/>
            <w:tcBorders>
              <w:top w:val="single" w:sz="4" w:space="0" w:color="auto"/>
            </w:tcBorders>
            <w:vAlign w:val="center"/>
          </w:tcPr>
          <w:p w14:paraId="252035EA"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5FC12121" w14:textId="77777777" w:rsidR="00D1178D" w:rsidRPr="006C520E" w:rsidRDefault="00D1178D" w:rsidP="00D1178D">
            <w:pPr>
              <w:jc w:val="center"/>
              <w:rPr>
                <w:szCs w:val="24"/>
              </w:rPr>
            </w:pPr>
            <w:r w:rsidRPr="006C520E">
              <w:rPr>
                <w:szCs w:val="24"/>
              </w:rPr>
              <w:t>0.000</w:t>
            </w:r>
          </w:p>
        </w:tc>
        <w:tc>
          <w:tcPr>
            <w:tcW w:w="701" w:type="pct"/>
            <w:tcBorders>
              <w:top w:val="single" w:sz="4" w:space="0" w:color="auto"/>
            </w:tcBorders>
            <w:vAlign w:val="center"/>
          </w:tcPr>
          <w:p w14:paraId="0F20E800" w14:textId="07475F0E"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7C7108E2"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76ED1D8"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1751C2B"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54C66926"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5ABCB43D" w14:textId="77777777" w:rsidR="00D1178D" w:rsidRPr="006C520E" w:rsidRDefault="00D1178D" w:rsidP="00D1178D">
            <w:pPr>
              <w:jc w:val="center"/>
              <w:rPr>
                <w:szCs w:val="24"/>
              </w:rPr>
            </w:pPr>
            <w:r w:rsidRPr="006C520E">
              <w:rPr>
                <w:szCs w:val="24"/>
              </w:rPr>
              <w:t>0.000</w:t>
            </w:r>
          </w:p>
        </w:tc>
        <w:tc>
          <w:tcPr>
            <w:tcW w:w="483" w:type="pct"/>
            <w:tcBorders>
              <w:top w:val="single" w:sz="4" w:space="0" w:color="auto"/>
            </w:tcBorders>
            <w:vAlign w:val="center"/>
          </w:tcPr>
          <w:p w14:paraId="145B7569" w14:textId="77777777" w:rsidR="00D1178D" w:rsidRPr="006C520E" w:rsidRDefault="00D1178D" w:rsidP="00D1178D">
            <w:pPr>
              <w:jc w:val="center"/>
              <w:rPr>
                <w:szCs w:val="24"/>
              </w:rPr>
            </w:pPr>
            <w:r w:rsidRPr="006C520E">
              <w:rPr>
                <w:szCs w:val="24"/>
              </w:rPr>
              <w:t>0.000</w:t>
            </w:r>
          </w:p>
        </w:tc>
      </w:tr>
      <w:tr w:rsidR="00D1178D" w:rsidRPr="006C520E" w14:paraId="78F40C26" w14:textId="77777777" w:rsidTr="00572EE0">
        <w:tc>
          <w:tcPr>
            <w:tcW w:w="435" w:type="pct"/>
            <w:vAlign w:val="center"/>
          </w:tcPr>
          <w:p w14:paraId="782BA08D" w14:textId="77777777" w:rsidR="00D1178D" w:rsidRPr="006C520E" w:rsidRDefault="00D1178D" w:rsidP="00D1178D">
            <w:pPr>
              <w:jc w:val="center"/>
              <w:rPr>
                <w:szCs w:val="24"/>
              </w:rPr>
            </w:pPr>
            <w:r w:rsidRPr="006C520E">
              <w:rPr>
                <w:szCs w:val="24"/>
              </w:rPr>
              <w:t>1</w:t>
            </w:r>
          </w:p>
        </w:tc>
        <w:tc>
          <w:tcPr>
            <w:tcW w:w="483" w:type="pct"/>
            <w:vAlign w:val="center"/>
          </w:tcPr>
          <w:p w14:paraId="3CBB4A1E" w14:textId="77777777" w:rsidR="00D1178D" w:rsidRPr="006C520E" w:rsidRDefault="00D1178D" w:rsidP="00D1178D">
            <w:pPr>
              <w:jc w:val="center"/>
              <w:rPr>
                <w:szCs w:val="24"/>
              </w:rPr>
            </w:pPr>
            <w:r w:rsidRPr="006C520E">
              <w:rPr>
                <w:szCs w:val="24"/>
              </w:rPr>
              <w:t>0.000</w:t>
            </w:r>
          </w:p>
        </w:tc>
        <w:tc>
          <w:tcPr>
            <w:tcW w:w="483" w:type="pct"/>
            <w:vAlign w:val="center"/>
          </w:tcPr>
          <w:p w14:paraId="78173557" w14:textId="77777777" w:rsidR="00D1178D" w:rsidRPr="006C520E" w:rsidRDefault="00D1178D" w:rsidP="00D1178D">
            <w:pPr>
              <w:jc w:val="center"/>
              <w:rPr>
                <w:szCs w:val="24"/>
              </w:rPr>
            </w:pPr>
            <w:r w:rsidRPr="006C520E">
              <w:rPr>
                <w:szCs w:val="24"/>
              </w:rPr>
              <w:t>0.000</w:t>
            </w:r>
          </w:p>
        </w:tc>
        <w:tc>
          <w:tcPr>
            <w:tcW w:w="701" w:type="pct"/>
            <w:vAlign w:val="center"/>
          </w:tcPr>
          <w:p w14:paraId="2D663FA5" w14:textId="5816619E" w:rsidR="00D1178D" w:rsidRPr="006C520E" w:rsidRDefault="00D1178D" w:rsidP="00D1178D">
            <w:pPr>
              <w:jc w:val="center"/>
              <w:rPr>
                <w:szCs w:val="24"/>
              </w:rPr>
            </w:pPr>
            <w:r w:rsidRPr="006C520E">
              <w:rPr>
                <w:szCs w:val="24"/>
              </w:rPr>
              <w:t>0.000</w:t>
            </w:r>
          </w:p>
        </w:tc>
        <w:tc>
          <w:tcPr>
            <w:tcW w:w="483" w:type="pct"/>
            <w:vAlign w:val="center"/>
          </w:tcPr>
          <w:p w14:paraId="46A46C4A" w14:textId="77777777" w:rsidR="00D1178D" w:rsidRPr="006C520E" w:rsidRDefault="00D1178D" w:rsidP="00D1178D">
            <w:pPr>
              <w:jc w:val="center"/>
              <w:rPr>
                <w:szCs w:val="24"/>
              </w:rPr>
            </w:pPr>
            <w:r w:rsidRPr="006C520E">
              <w:rPr>
                <w:szCs w:val="24"/>
              </w:rPr>
              <w:t>0.000</w:t>
            </w:r>
          </w:p>
        </w:tc>
        <w:tc>
          <w:tcPr>
            <w:tcW w:w="483" w:type="pct"/>
            <w:vAlign w:val="center"/>
          </w:tcPr>
          <w:p w14:paraId="2CDB3A6F" w14:textId="77777777" w:rsidR="00D1178D" w:rsidRPr="006C520E" w:rsidRDefault="00D1178D" w:rsidP="00D1178D">
            <w:pPr>
              <w:jc w:val="center"/>
              <w:rPr>
                <w:szCs w:val="24"/>
              </w:rPr>
            </w:pPr>
            <w:r w:rsidRPr="006C520E">
              <w:rPr>
                <w:szCs w:val="24"/>
              </w:rPr>
              <w:t>0.000</w:t>
            </w:r>
          </w:p>
        </w:tc>
        <w:tc>
          <w:tcPr>
            <w:tcW w:w="483" w:type="pct"/>
            <w:vAlign w:val="center"/>
          </w:tcPr>
          <w:p w14:paraId="715D8F36" w14:textId="77777777" w:rsidR="00D1178D" w:rsidRPr="006C520E" w:rsidRDefault="00D1178D" w:rsidP="00D1178D">
            <w:pPr>
              <w:jc w:val="center"/>
              <w:rPr>
                <w:szCs w:val="24"/>
              </w:rPr>
            </w:pPr>
            <w:r w:rsidRPr="006C520E">
              <w:rPr>
                <w:szCs w:val="24"/>
              </w:rPr>
              <w:t>0.000</w:t>
            </w:r>
          </w:p>
        </w:tc>
        <w:tc>
          <w:tcPr>
            <w:tcW w:w="483" w:type="pct"/>
            <w:vAlign w:val="center"/>
          </w:tcPr>
          <w:p w14:paraId="2D4BF11F" w14:textId="77777777" w:rsidR="00D1178D" w:rsidRPr="006C520E" w:rsidRDefault="00D1178D" w:rsidP="00D1178D">
            <w:pPr>
              <w:jc w:val="center"/>
              <w:rPr>
                <w:szCs w:val="24"/>
              </w:rPr>
            </w:pPr>
            <w:r w:rsidRPr="006C520E">
              <w:rPr>
                <w:szCs w:val="24"/>
              </w:rPr>
              <w:t>0.000</w:t>
            </w:r>
          </w:p>
        </w:tc>
        <w:tc>
          <w:tcPr>
            <w:tcW w:w="483" w:type="pct"/>
            <w:vAlign w:val="center"/>
          </w:tcPr>
          <w:p w14:paraId="556DF852" w14:textId="77777777" w:rsidR="00D1178D" w:rsidRPr="006C520E" w:rsidRDefault="00D1178D" w:rsidP="00D1178D">
            <w:pPr>
              <w:jc w:val="center"/>
              <w:rPr>
                <w:szCs w:val="24"/>
              </w:rPr>
            </w:pPr>
            <w:r w:rsidRPr="006C520E">
              <w:rPr>
                <w:szCs w:val="24"/>
              </w:rPr>
              <w:t>0.000</w:t>
            </w:r>
          </w:p>
        </w:tc>
        <w:tc>
          <w:tcPr>
            <w:tcW w:w="483" w:type="pct"/>
            <w:vAlign w:val="center"/>
          </w:tcPr>
          <w:p w14:paraId="76DC3542" w14:textId="77777777" w:rsidR="00D1178D" w:rsidRPr="006C520E" w:rsidRDefault="00D1178D" w:rsidP="00D1178D">
            <w:pPr>
              <w:jc w:val="center"/>
              <w:rPr>
                <w:szCs w:val="24"/>
              </w:rPr>
            </w:pPr>
            <w:r w:rsidRPr="006C520E">
              <w:rPr>
                <w:szCs w:val="24"/>
              </w:rPr>
              <w:t>0.000</w:t>
            </w:r>
          </w:p>
        </w:tc>
      </w:tr>
      <w:tr w:rsidR="00D1178D" w:rsidRPr="006C520E" w14:paraId="37F7D054" w14:textId="77777777" w:rsidTr="00572EE0">
        <w:tc>
          <w:tcPr>
            <w:tcW w:w="435" w:type="pct"/>
            <w:vAlign w:val="center"/>
          </w:tcPr>
          <w:p w14:paraId="458312A7" w14:textId="77777777" w:rsidR="00D1178D" w:rsidRPr="006C520E" w:rsidRDefault="00D1178D" w:rsidP="00D1178D">
            <w:pPr>
              <w:jc w:val="center"/>
              <w:rPr>
                <w:szCs w:val="24"/>
              </w:rPr>
            </w:pPr>
            <w:r w:rsidRPr="006C520E">
              <w:rPr>
                <w:szCs w:val="24"/>
              </w:rPr>
              <w:t>2</w:t>
            </w:r>
          </w:p>
        </w:tc>
        <w:tc>
          <w:tcPr>
            <w:tcW w:w="483" w:type="pct"/>
            <w:vAlign w:val="center"/>
          </w:tcPr>
          <w:p w14:paraId="506F6C74" w14:textId="77777777" w:rsidR="00D1178D" w:rsidRPr="006C520E" w:rsidRDefault="00D1178D" w:rsidP="00D1178D">
            <w:pPr>
              <w:jc w:val="center"/>
              <w:rPr>
                <w:szCs w:val="24"/>
              </w:rPr>
            </w:pPr>
            <w:r w:rsidRPr="006C520E">
              <w:rPr>
                <w:szCs w:val="24"/>
              </w:rPr>
              <w:t>0.000</w:t>
            </w:r>
          </w:p>
        </w:tc>
        <w:tc>
          <w:tcPr>
            <w:tcW w:w="483" w:type="pct"/>
            <w:vAlign w:val="center"/>
          </w:tcPr>
          <w:p w14:paraId="5DA08B89" w14:textId="77777777" w:rsidR="00D1178D" w:rsidRPr="006C520E" w:rsidRDefault="00D1178D" w:rsidP="00D1178D">
            <w:pPr>
              <w:jc w:val="center"/>
              <w:rPr>
                <w:szCs w:val="24"/>
              </w:rPr>
            </w:pPr>
            <w:r w:rsidRPr="006C520E">
              <w:rPr>
                <w:szCs w:val="24"/>
              </w:rPr>
              <w:t>0.000</w:t>
            </w:r>
          </w:p>
        </w:tc>
        <w:tc>
          <w:tcPr>
            <w:tcW w:w="701" w:type="pct"/>
            <w:vAlign w:val="center"/>
          </w:tcPr>
          <w:p w14:paraId="7315E819" w14:textId="6DABD9D0" w:rsidR="00D1178D" w:rsidRPr="006C520E" w:rsidRDefault="00D1178D" w:rsidP="00D1178D">
            <w:pPr>
              <w:jc w:val="center"/>
              <w:rPr>
                <w:szCs w:val="24"/>
              </w:rPr>
            </w:pPr>
            <w:r w:rsidRPr="006C520E">
              <w:rPr>
                <w:szCs w:val="24"/>
              </w:rPr>
              <w:t>0.000</w:t>
            </w:r>
          </w:p>
        </w:tc>
        <w:tc>
          <w:tcPr>
            <w:tcW w:w="483" w:type="pct"/>
            <w:vAlign w:val="center"/>
          </w:tcPr>
          <w:p w14:paraId="2A76056A" w14:textId="5AD0292E" w:rsidR="00D1178D" w:rsidRPr="006C520E" w:rsidRDefault="00D1178D" w:rsidP="00D1178D">
            <w:pPr>
              <w:jc w:val="center"/>
              <w:rPr>
                <w:szCs w:val="24"/>
              </w:rPr>
            </w:pPr>
          </w:p>
        </w:tc>
        <w:tc>
          <w:tcPr>
            <w:tcW w:w="483" w:type="pct"/>
            <w:vAlign w:val="center"/>
          </w:tcPr>
          <w:p w14:paraId="0CBA7094" w14:textId="29486ED2" w:rsidR="00D1178D" w:rsidRPr="006C520E" w:rsidRDefault="00D1178D" w:rsidP="00D1178D">
            <w:pPr>
              <w:jc w:val="center"/>
              <w:rPr>
                <w:szCs w:val="24"/>
              </w:rPr>
            </w:pPr>
          </w:p>
        </w:tc>
        <w:tc>
          <w:tcPr>
            <w:tcW w:w="483" w:type="pct"/>
            <w:vAlign w:val="center"/>
          </w:tcPr>
          <w:p w14:paraId="677D92AA" w14:textId="1E6F276E" w:rsidR="00D1178D" w:rsidRPr="006C520E" w:rsidRDefault="00D1178D" w:rsidP="00D1178D">
            <w:pPr>
              <w:jc w:val="center"/>
              <w:rPr>
                <w:szCs w:val="24"/>
              </w:rPr>
            </w:pPr>
          </w:p>
        </w:tc>
        <w:tc>
          <w:tcPr>
            <w:tcW w:w="483" w:type="pct"/>
            <w:vAlign w:val="center"/>
          </w:tcPr>
          <w:p w14:paraId="577066BD" w14:textId="42505239" w:rsidR="00D1178D" w:rsidRPr="006C520E" w:rsidRDefault="00D1178D" w:rsidP="00D1178D">
            <w:pPr>
              <w:jc w:val="center"/>
              <w:rPr>
                <w:szCs w:val="24"/>
              </w:rPr>
            </w:pPr>
          </w:p>
        </w:tc>
        <w:tc>
          <w:tcPr>
            <w:tcW w:w="483" w:type="pct"/>
            <w:vAlign w:val="center"/>
          </w:tcPr>
          <w:p w14:paraId="0E22387B" w14:textId="52EBFCDB" w:rsidR="00D1178D" w:rsidRPr="006C520E" w:rsidRDefault="00D1178D" w:rsidP="00D1178D">
            <w:pPr>
              <w:jc w:val="center"/>
              <w:rPr>
                <w:szCs w:val="24"/>
              </w:rPr>
            </w:pPr>
          </w:p>
        </w:tc>
        <w:tc>
          <w:tcPr>
            <w:tcW w:w="483" w:type="pct"/>
            <w:vAlign w:val="center"/>
          </w:tcPr>
          <w:p w14:paraId="51DD75AA" w14:textId="51CD7AC7" w:rsidR="00D1178D" w:rsidRPr="006C520E" w:rsidRDefault="00D1178D" w:rsidP="00D1178D">
            <w:pPr>
              <w:jc w:val="center"/>
              <w:rPr>
                <w:szCs w:val="24"/>
              </w:rPr>
            </w:pPr>
          </w:p>
        </w:tc>
      </w:tr>
      <w:tr w:rsidR="00D1178D" w:rsidRPr="006C520E" w14:paraId="1F95C5E2" w14:textId="77777777" w:rsidTr="00572EE0">
        <w:tc>
          <w:tcPr>
            <w:tcW w:w="435" w:type="pct"/>
            <w:vAlign w:val="center"/>
          </w:tcPr>
          <w:p w14:paraId="38FFEAA0" w14:textId="77777777" w:rsidR="00D1178D" w:rsidRPr="006C520E" w:rsidRDefault="00D1178D" w:rsidP="00D1178D">
            <w:pPr>
              <w:jc w:val="center"/>
              <w:rPr>
                <w:szCs w:val="24"/>
              </w:rPr>
            </w:pPr>
            <w:r w:rsidRPr="006C520E">
              <w:rPr>
                <w:szCs w:val="24"/>
              </w:rPr>
              <w:lastRenderedPageBreak/>
              <w:t>3</w:t>
            </w:r>
          </w:p>
        </w:tc>
        <w:tc>
          <w:tcPr>
            <w:tcW w:w="483" w:type="pct"/>
            <w:vAlign w:val="center"/>
          </w:tcPr>
          <w:p w14:paraId="4CD8DA3C" w14:textId="7419A7EB" w:rsidR="00D1178D" w:rsidRPr="006C520E" w:rsidRDefault="00D1178D" w:rsidP="00D1178D">
            <w:pPr>
              <w:jc w:val="center"/>
              <w:rPr>
                <w:szCs w:val="24"/>
              </w:rPr>
            </w:pPr>
            <w:r w:rsidRPr="006C520E">
              <w:rPr>
                <w:szCs w:val="24"/>
              </w:rPr>
              <w:t>0.000</w:t>
            </w:r>
          </w:p>
        </w:tc>
        <w:tc>
          <w:tcPr>
            <w:tcW w:w="483" w:type="pct"/>
            <w:vAlign w:val="center"/>
          </w:tcPr>
          <w:p w14:paraId="36390F08" w14:textId="7BFEB300" w:rsidR="00D1178D" w:rsidRPr="006C520E" w:rsidRDefault="00D1178D" w:rsidP="00D1178D">
            <w:pPr>
              <w:jc w:val="center"/>
              <w:rPr>
                <w:szCs w:val="24"/>
              </w:rPr>
            </w:pPr>
          </w:p>
        </w:tc>
        <w:tc>
          <w:tcPr>
            <w:tcW w:w="701" w:type="pct"/>
            <w:vAlign w:val="center"/>
          </w:tcPr>
          <w:p w14:paraId="46027A93" w14:textId="74D00495" w:rsidR="00D1178D" w:rsidRPr="006C520E" w:rsidRDefault="00D1178D" w:rsidP="00D1178D">
            <w:pPr>
              <w:jc w:val="center"/>
              <w:rPr>
                <w:szCs w:val="24"/>
              </w:rPr>
            </w:pPr>
            <w:r w:rsidRPr="006C520E">
              <w:rPr>
                <w:szCs w:val="24"/>
              </w:rPr>
              <w:t>0.000</w:t>
            </w:r>
          </w:p>
        </w:tc>
        <w:tc>
          <w:tcPr>
            <w:tcW w:w="483" w:type="pct"/>
            <w:vAlign w:val="center"/>
          </w:tcPr>
          <w:p w14:paraId="68253CFB" w14:textId="77777777" w:rsidR="00D1178D" w:rsidRPr="006C520E" w:rsidRDefault="00D1178D" w:rsidP="00D1178D">
            <w:pPr>
              <w:jc w:val="center"/>
              <w:rPr>
                <w:szCs w:val="24"/>
              </w:rPr>
            </w:pPr>
          </w:p>
        </w:tc>
        <w:tc>
          <w:tcPr>
            <w:tcW w:w="483" w:type="pct"/>
            <w:vAlign w:val="center"/>
          </w:tcPr>
          <w:p w14:paraId="77A15261" w14:textId="77777777" w:rsidR="00D1178D" w:rsidRPr="006C520E" w:rsidRDefault="00D1178D" w:rsidP="00D1178D">
            <w:pPr>
              <w:jc w:val="center"/>
              <w:rPr>
                <w:szCs w:val="24"/>
              </w:rPr>
            </w:pPr>
          </w:p>
        </w:tc>
        <w:tc>
          <w:tcPr>
            <w:tcW w:w="483" w:type="pct"/>
            <w:vAlign w:val="center"/>
          </w:tcPr>
          <w:p w14:paraId="02E25458" w14:textId="76A3B6F0" w:rsidR="00D1178D" w:rsidRPr="006C520E" w:rsidRDefault="00D1178D" w:rsidP="00D1178D">
            <w:pPr>
              <w:jc w:val="center"/>
              <w:rPr>
                <w:szCs w:val="24"/>
              </w:rPr>
            </w:pPr>
          </w:p>
        </w:tc>
        <w:tc>
          <w:tcPr>
            <w:tcW w:w="483" w:type="pct"/>
            <w:vAlign w:val="center"/>
          </w:tcPr>
          <w:p w14:paraId="3FCA663F" w14:textId="77777777" w:rsidR="00D1178D" w:rsidRPr="006C520E" w:rsidRDefault="00D1178D" w:rsidP="00D1178D">
            <w:pPr>
              <w:jc w:val="center"/>
              <w:rPr>
                <w:szCs w:val="24"/>
              </w:rPr>
            </w:pPr>
          </w:p>
        </w:tc>
        <w:tc>
          <w:tcPr>
            <w:tcW w:w="483" w:type="pct"/>
            <w:vAlign w:val="center"/>
          </w:tcPr>
          <w:p w14:paraId="52C15428" w14:textId="77777777" w:rsidR="00D1178D" w:rsidRPr="006C520E" w:rsidRDefault="00D1178D" w:rsidP="00D1178D">
            <w:pPr>
              <w:jc w:val="center"/>
              <w:rPr>
                <w:szCs w:val="24"/>
              </w:rPr>
            </w:pPr>
          </w:p>
        </w:tc>
        <w:tc>
          <w:tcPr>
            <w:tcW w:w="483" w:type="pct"/>
            <w:vAlign w:val="center"/>
          </w:tcPr>
          <w:p w14:paraId="5DC66822" w14:textId="7EC8C111" w:rsidR="00D1178D" w:rsidRPr="006C520E" w:rsidRDefault="00D1178D" w:rsidP="00D1178D">
            <w:pPr>
              <w:jc w:val="center"/>
              <w:rPr>
                <w:szCs w:val="24"/>
              </w:rPr>
            </w:pPr>
          </w:p>
        </w:tc>
      </w:tr>
      <w:tr w:rsidR="00D1178D" w:rsidRPr="006C520E" w14:paraId="6463DCED" w14:textId="77777777" w:rsidTr="00572EE0">
        <w:tc>
          <w:tcPr>
            <w:tcW w:w="435" w:type="pct"/>
            <w:vAlign w:val="center"/>
          </w:tcPr>
          <w:p w14:paraId="4FD5274C" w14:textId="77777777" w:rsidR="00D1178D" w:rsidRPr="006C520E" w:rsidRDefault="00D1178D" w:rsidP="00D1178D">
            <w:pPr>
              <w:jc w:val="center"/>
              <w:rPr>
                <w:szCs w:val="24"/>
              </w:rPr>
            </w:pPr>
            <w:r w:rsidRPr="006C520E">
              <w:rPr>
                <w:szCs w:val="24"/>
              </w:rPr>
              <w:t>4</w:t>
            </w:r>
          </w:p>
        </w:tc>
        <w:tc>
          <w:tcPr>
            <w:tcW w:w="483" w:type="pct"/>
            <w:vAlign w:val="center"/>
          </w:tcPr>
          <w:p w14:paraId="3F51714A" w14:textId="174BCB93" w:rsidR="00D1178D" w:rsidRPr="006C520E" w:rsidRDefault="00D1178D" w:rsidP="00D1178D">
            <w:pPr>
              <w:jc w:val="center"/>
              <w:rPr>
                <w:szCs w:val="24"/>
              </w:rPr>
            </w:pPr>
            <w:r w:rsidRPr="006C520E">
              <w:rPr>
                <w:szCs w:val="24"/>
              </w:rPr>
              <w:t>0.000</w:t>
            </w:r>
          </w:p>
        </w:tc>
        <w:tc>
          <w:tcPr>
            <w:tcW w:w="483" w:type="pct"/>
            <w:vAlign w:val="center"/>
          </w:tcPr>
          <w:p w14:paraId="32740631" w14:textId="75260D7E" w:rsidR="00D1178D" w:rsidRPr="006C520E" w:rsidRDefault="00D1178D" w:rsidP="00D1178D">
            <w:pPr>
              <w:jc w:val="center"/>
              <w:rPr>
                <w:szCs w:val="24"/>
              </w:rPr>
            </w:pPr>
          </w:p>
        </w:tc>
        <w:tc>
          <w:tcPr>
            <w:tcW w:w="701" w:type="pct"/>
            <w:vAlign w:val="center"/>
          </w:tcPr>
          <w:p w14:paraId="281E4544" w14:textId="6B4CCA6D" w:rsidR="00D1178D" w:rsidRPr="006C520E" w:rsidRDefault="00D1178D" w:rsidP="00D1178D">
            <w:pPr>
              <w:jc w:val="center"/>
              <w:rPr>
                <w:szCs w:val="24"/>
              </w:rPr>
            </w:pPr>
            <w:r w:rsidRPr="006C520E">
              <w:rPr>
                <w:szCs w:val="24"/>
              </w:rPr>
              <w:t>0.000</w:t>
            </w:r>
          </w:p>
        </w:tc>
        <w:tc>
          <w:tcPr>
            <w:tcW w:w="483" w:type="pct"/>
            <w:vAlign w:val="center"/>
          </w:tcPr>
          <w:p w14:paraId="2C5415C6" w14:textId="77777777" w:rsidR="00D1178D" w:rsidRPr="006C520E" w:rsidRDefault="00D1178D" w:rsidP="00D1178D">
            <w:pPr>
              <w:jc w:val="center"/>
              <w:rPr>
                <w:szCs w:val="24"/>
              </w:rPr>
            </w:pPr>
          </w:p>
        </w:tc>
        <w:tc>
          <w:tcPr>
            <w:tcW w:w="483" w:type="pct"/>
            <w:vAlign w:val="center"/>
          </w:tcPr>
          <w:p w14:paraId="30D41F21" w14:textId="77777777" w:rsidR="00D1178D" w:rsidRPr="006C520E" w:rsidRDefault="00D1178D" w:rsidP="00D1178D">
            <w:pPr>
              <w:jc w:val="center"/>
              <w:rPr>
                <w:szCs w:val="24"/>
              </w:rPr>
            </w:pPr>
          </w:p>
        </w:tc>
        <w:tc>
          <w:tcPr>
            <w:tcW w:w="483" w:type="pct"/>
            <w:vAlign w:val="center"/>
          </w:tcPr>
          <w:p w14:paraId="54BAF26E" w14:textId="0C890553" w:rsidR="00D1178D" w:rsidRPr="006C520E" w:rsidRDefault="00D1178D" w:rsidP="00D1178D">
            <w:pPr>
              <w:jc w:val="center"/>
              <w:rPr>
                <w:szCs w:val="24"/>
              </w:rPr>
            </w:pPr>
          </w:p>
        </w:tc>
        <w:tc>
          <w:tcPr>
            <w:tcW w:w="483" w:type="pct"/>
            <w:vAlign w:val="center"/>
          </w:tcPr>
          <w:p w14:paraId="22F33DB4" w14:textId="77777777" w:rsidR="00D1178D" w:rsidRPr="006C520E" w:rsidRDefault="00D1178D" w:rsidP="00D1178D">
            <w:pPr>
              <w:jc w:val="center"/>
              <w:rPr>
                <w:szCs w:val="24"/>
              </w:rPr>
            </w:pPr>
          </w:p>
        </w:tc>
        <w:tc>
          <w:tcPr>
            <w:tcW w:w="483" w:type="pct"/>
            <w:vAlign w:val="center"/>
          </w:tcPr>
          <w:p w14:paraId="6892F0C3" w14:textId="77777777" w:rsidR="00D1178D" w:rsidRPr="006C520E" w:rsidRDefault="00D1178D" w:rsidP="00D1178D">
            <w:pPr>
              <w:jc w:val="center"/>
              <w:rPr>
                <w:szCs w:val="24"/>
              </w:rPr>
            </w:pPr>
          </w:p>
        </w:tc>
        <w:tc>
          <w:tcPr>
            <w:tcW w:w="483" w:type="pct"/>
            <w:vAlign w:val="center"/>
          </w:tcPr>
          <w:p w14:paraId="682B68E4" w14:textId="01AE0882" w:rsidR="00D1178D" w:rsidRPr="006C520E" w:rsidRDefault="00D1178D" w:rsidP="00D1178D">
            <w:pPr>
              <w:jc w:val="center"/>
              <w:rPr>
                <w:szCs w:val="24"/>
              </w:rPr>
            </w:pPr>
          </w:p>
        </w:tc>
      </w:tr>
    </w:tbl>
    <w:p w14:paraId="44B555F6" w14:textId="77777777" w:rsidR="002C5FDA" w:rsidRPr="006C520E" w:rsidRDefault="002C5FDA" w:rsidP="002B1AE7">
      <w:pPr>
        <w:spacing w:before="240" w:after="0"/>
        <w:rPr>
          <w:szCs w:val="24"/>
        </w:rPr>
      </w:pPr>
    </w:p>
    <w:p w14:paraId="16A88251" w14:textId="13597F33" w:rsidR="002B1AE7" w:rsidRPr="006C520E" w:rsidRDefault="002B1AE7" w:rsidP="002B1AE7">
      <w:pPr>
        <w:pStyle w:val="Heading2"/>
        <w:rPr>
          <w:rFonts w:ascii="Garamond" w:hAnsi="Garamond"/>
          <w:b/>
          <w:bCs/>
          <w:color w:val="auto"/>
          <w:sz w:val="24"/>
          <w:szCs w:val="24"/>
        </w:rPr>
      </w:pPr>
      <w:r w:rsidRPr="006C520E">
        <w:rPr>
          <w:rFonts w:ascii="Garamond" w:hAnsi="Garamond"/>
          <w:b/>
          <w:bCs/>
          <w:color w:val="auto"/>
          <w:sz w:val="24"/>
          <w:szCs w:val="24"/>
        </w:rPr>
        <w:t>Appendix Figures</w:t>
      </w:r>
    </w:p>
    <w:p w14:paraId="6B7183C4" w14:textId="2C3046A2" w:rsidR="00182798" w:rsidRPr="006C520E" w:rsidRDefault="00182798" w:rsidP="00182798">
      <w:pPr>
        <w:spacing w:after="0"/>
        <w:rPr>
          <w:szCs w:val="24"/>
        </w:rPr>
      </w:pPr>
      <w:r w:rsidRPr="006C520E">
        <w:rPr>
          <w:b/>
          <w:bCs/>
          <w:szCs w:val="24"/>
        </w:rPr>
        <w:t>Figure 1</w:t>
      </w:r>
      <w:r w:rsidRPr="006C520E">
        <w:rPr>
          <w:szCs w:val="24"/>
        </w:rPr>
        <w:t xml:space="preserve"> Model I’s CUSUM and CUSUMSQ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1AE7" w:rsidRPr="006C520E" w14:paraId="647195FA" w14:textId="77777777" w:rsidTr="00182798">
        <w:tc>
          <w:tcPr>
            <w:tcW w:w="4675" w:type="dxa"/>
          </w:tcPr>
          <w:p w14:paraId="69CEADD6" w14:textId="2C2FA6A2" w:rsidR="002B1AE7" w:rsidRPr="006C520E" w:rsidRDefault="00080B91" w:rsidP="002B1AE7">
            <w:pPr>
              <w:rPr>
                <w:szCs w:val="24"/>
              </w:rPr>
            </w:pPr>
            <w:r w:rsidRPr="006C520E">
              <w:object w:dxaOrig="8571" w:dyaOrig="5321" w14:anchorId="0211B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35.5pt" o:ole="">
                  <v:imagedata r:id="rId9" o:title=""/>
                </v:shape>
                <o:OLEObject Type="Embed" ProgID="EViews.Workfile.2" ShapeID="_x0000_i1025" DrawAspect="Content" ObjectID="_1794786224" r:id="rId10"/>
              </w:object>
            </w:r>
          </w:p>
        </w:tc>
        <w:tc>
          <w:tcPr>
            <w:tcW w:w="4675" w:type="dxa"/>
          </w:tcPr>
          <w:p w14:paraId="38EFD956" w14:textId="1A70DA4D" w:rsidR="002B1AE7" w:rsidRPr="006C520E" w:rsidRDefault="00080B91" w:rsidP="002B1AE7">
            <w:pPr>
              <w:rPr>
                <w:szCs w:val="24"/>
              </w:rPr>
            </w:pPr>
            <w:r w:rsidRPr="006C520E">
              <w:object w:dxaOrig="8631" w:dyaOrig="5321" w14:anchorId="29B3540B">
                <v:shape id="_x0000_i1026" type="#_x0000_t75" style="width:221.5pt;height:135.5pt" o:ole="">
                  <v:imagedata r:id="rId11" o:title=""/>
                </v:shape>
                <o:OLEObject Type="Embed" ProgID="EViews.Workfile.2" ShapeID="_x0000_i1026" DrawAspect="Content" ObjectID="_1794786225" r:id="rId12"/>
              </w:object>
            </w:r>
          </w:p>
        </w:tc>
      </w:tr>
    </w:tbl>
    <w:p w14:paraId="2105D1EB" w14:textId="641E5145" w:rsidR="002B1AE7" w:rsidRPr="006C520E" w:rsidRDefault="00182798" w:rsidP="00182798">
      <w:pPr>
        <w:spacing w:before="240" w:after="0"/>
        <w:rPr>
          <w:szCs w:val="24"/>
        </w:rPr>
      </w:pPr>
      <w:r w:rsidRPr="006C520E">
        <w:rPr>
          <w:b/>
          <w:bCs/>
          <w:szCs w:val="24"/>
        </w:rPr>
        <w:t>Figure 2</w:t>
      </w:r>
      <w:r w:rsidRPr="006C520E">
        <w:rPr>
          <w:szCs w:val="24"/>
        </w:rPr>
        <w:t xml:space="preserve"> Model II’s CUSUM and CUSUMSQ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712"/>
      </w:tblGrid>
      <w:tr w:rsidR="00080B91" w:rsidRPr="006C520E" w14:paraId="0410A754" w14:textId="77777777" w:rsidTr="00ED6419">
        <w:tc>
          <w:tcPr>
            <w:tcW w:w="4266" w:type="dxa"/>
          </w:tcPr>
          <w:p w14:paraId="324E12B7" w14:textId="1B40B397" w:rsidR="00080B91" w:rsidRPr="006C520E" w:rsidRDefault="00ED6419" w:rsidP="00FF0850">
            <w:pPr>
              <w:rPr>
                <w:szCs w:val="24"/>
              </w:rPr>
            </w:pPr>
            <w:r w:rsidRPr="006C520E">
              <w:object w:dxaOrig="8571" w:dyaOrig="5321" w14:anchorId="33CDB1AC">
                <v:shape id="_x0000_i1027" type="#_x0000_t75" style="width:221.5pt;height:136.5pt" o:ole="">
                  <v:imagedata r:id="rId13" o:title=""/>
                </v:shape>
                <o:OLEObject Type="Embed" ProgID="EViews.Workfile.2" ShapeID="_x0000_i1027" DrawAspect="Content" ObjectID="_1794786226" r:id="rId14"/>
              </w:object>
            </w:r>
          </w:p>
        </w:tc>
        <w:tc>
          <w:tcPr>
            <w:tcW w:w="5084" w:type="dxa"/>
          </w:tcPr>
          <w:p w14:paraId="7830D2B7" w14:textId="0B51982F" w:rsidR="00080B91" w:rsidRPr="006C520E" w:rsidRDefault="00ED6419" w:rsidP="00FF0850">
            <w:pPr>
              <w:rPr>
                <w:szCs w:val="24"/>
              </w:rPr>
            </w:pPr>
            <w:r w:rsidRPr="006C520E">
              <w:object w:dxaOrig="8631" w:dyaOrig="5321" w14:anchorId="256389E1">
                <v:shape id="_x0000_i1028" type="#_x0000_t75" style="width:222pt;height:136.5pt" o:ole="">
                  <v:imagedata r:id="rId15" o:title=""/>
                </v:shape>
                <o:OLEObject Type="Embed" ProgID="EViews.Workfile.2" ShapeID="_x0000_i1028" DrawAspect="Content" ObjectID="_1794786227" r:id="rId16"/>
              </w:object>
            </w:r>
          </w:p>
        </w:tc>
      </w:tr>
    </w:tbl>
    <w:p w14:paraId="51A9CFB1" w14:textId="77777777" w:rsidR="00182798" w:rsidRPr="006C520E" w:rsidRDefault="00182798" w:rsidP="00182798">
      <w:pPr>
        <w:spacing w:before="240" w:after="0"/>
        <w:rPr>
          <w:szCs w:val="24"/>
        </w:rPr>
      </w:pPr>
      <w:r w:rsidRPr="006C520E">
        <w:rPr>
          <w:b/>
          <w:bCs/>
          <w:szCs w:val="24"/>
        </w:rPr>
        <w:t xml:space="preserve">Figure 3 </w:t>
      </w:r>
      <w:r w:rsidRPr="006C520E">
        <w:rPr>
          <w:szCs w:val="24"/>
        </w:rPr>
        <w:t>Model III’s CUSUM and CUSUMSQ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786"/>
      </w:tblGrid>
      <w:tr w:rsidR="00182798" w:rsidRPr="006C520E" w14:paraId="19C0FF2B" w14:textId="77777777" w:rsidTr="00A31038">
        <w:tc>
          <w:tcPr>
            <w:tcW w:w="4266" w:type="dxa"/>
          </w:tcPr>
          <w:p w14:paraId="2B2FCE96" w14:textId="6696AA20" w:rsidR="00182798" w:rsidRPr="006C520E" w:rsidRDefault="0032562C" w:rsidP="00FF0850">
            <w:pPr>
              <w:rPr>
                <w:szCs w:val="24"/>
              </w:rPr>
            </w:pPr>
            <w:r w:rsidRPr="006C520E">
              <w:object w:dxaOrig="8571" w:dyaOrig="5321" w14:anchorId="1A68E2B3">
                <v:shape id="_x0000_i1029" type="#_x0000_t75" style="width:218.5pt;height:135.5pt" o:ole="">
                  <v:imagedata r:id="rId17" o:title=""/>
                </v:shape>
                <o:OLEObject Type="Embed" ProgID="EViews.Workfile.2" ShapeID="_x0000_i1029" DrawAspect="Content" ObjectID="_1794786228" r:id="rId18"/>
              </w:object>
            </w:r>
          </w:p>
        </w:tc>
        <w:tc>
          <w:tcPr>
            <w:tcW w:w="5084" w:type="dxa"/>
          </w:tcPr>
          <w:p w14:paraId="641521DD" w14:textId="0C0E4BFF" w:rsidR="00182798" w:rsidRPr="006C520E" w:rsidRDefault="00ED6419" w:rsidP="00FF0850">
            <w:pPr>
              <w:rPr>
                <w:szCs w:val="24"/>
              </w:rPr>
            </w:pPr>
            <w:r w:rsidRPr="006C520E">
              <w:object w:dxaOrig="8631" w:dyaOrig="5321" w14:anchorId="356D3CD4">
                <v:shape id="_x0000_i1030" type="#_x0000_t75" style="width:229pt;height:142pt" o:ole="">
                  <v:imagedata r:id="rId19" o:title=""/>
                </v:shape>
                <o:OLEObject Type="Embed" ProgID="EViews.Workfile.2" ShapeID="_x0000_i1030" DrawAspect="Content" ObjectID="_1794786229" r:id="rId20"/>
              </w:object>
            </w:r>
          </w:p>
        </w:tc>
      </w:tr>
    </w:tbl>
    <w:p w14:paraId="2DFFB8C9" w14:textId="77777777" w:rsidR="00080B91" w:rsidRPr="006C520E" w:rsidRDefault="00080B91" w:rsidP="002B1AE7">
      <w:pPr>
        <w:spacing w:before="240" w:after="0"/>
        <w:rPr>
          <w:szCs w:val="24"/>
        </w:rPr>
      </w:pPr>
    </w:p>
    <w:sectPr w:rsidR="00080B91" w:rsidRPr="006C520E">
      <w:footerReference w:type="default" r:id="rId2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1C83B" w14:textId="77777777" w:rsidR="00F44E21" w:rsidRDefault="00F44E21" w:rsidP="00C520ED">
      <w:pPr>
        <w:spacing w:after="0"/>
      </w:pPr>
      <w:r>
        <w:separator/>
      </w:r>
    </w:p>
  </w:endnote>
  <w:endnote w:type="continuationSeparator" w:id="0">
    <w:p w14:paraId="11CD5665" w14:textId="77777777" w:rsidR="00F44E21" w:rsidRDefault="00F44E21" w:rsidP="00C52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386607"/>
      <w:docPartObj>
        <w:docPartGallery w:val="Page Numbers (Bottom of Page)"/>
        <w:docPartUnique/>
      </w:docPartObj>
    </w:sdtPr>
    <w:sdtEndPr>
      <w:rPr>
        <w:rFonts w:ascii="Garamond" w:hAnsi="Garamond"/>
        <w:noProof/>
        <w:sz w:val="24"/>
        <w:szCs w:val="24"/>
      </w:rPr>
    </w:sdtEndPr>
    <w:sdtContent>
      <w:p w14:paraId="419AB4B2" w14:textId="451588DD" w:rsidR="00A56C42" w:rsidRPr="00A56C42" w:rsidRDefault="00A56C42" w:rsidP="00A56C42">
        <w:pPr>
          <w:pStyle w:val="Footer"/>
          <w:jc w:val="center"/>
          <w:rPr>
            <w:rFonts w:ascii="Garamond" w:hAnsi="Garamond"/>
            <w:sz w:val="24"/>
            <w:szCs w:val="24"/>
          </w:rPr>
        </w:pPr>
        <w:r w:rsidRPr="00A56C42">
          <w:rPr>
            <w:rFonts w:ascii="Garamond" w:hAnsi="Garamond"/>
            <w:sz w:val="24"/>
            <w:szCs w:val="24"/>
          </w:rPr>
          <w:fldChar w:fldCharType="begin"/>
        </w:r>
        <w:r w:rsidRPr="00A56C42">
          <w:rPr>
            <w:rFonts w:ascii="Garamond" w:hAnsi="Garamond"/>
            <w:sz w:val="24"/>
            <w:szCs w:val="24"/>
          </w:rPr>
          <w:instrText xml:space="preserve"> PAGE   \* MERGEFORMAT </w:instrText>
        </w:r>
        <w:r w:rsidRPr="00A56C42">
          <w:rPr>
            <w:rFonts w:ascii="Garamond" w:hAnsi="Garamond"/>
            <w:sz w:val="24"/>
            <w:szCs w:val="24"/>
          </w:rPr>
          <w:fldChar w:fldCharType="separate"/>
        </w:r>
        <w:r w:rsidRPr="00A56C42">
          <w:rPr>
            <w:rFonts w:ascii="Garamond" w:hAnsi="Garamond"/>
            <w:noProof/>
            <w:sz w:val="24"/>
            <w:szCs w:val="24"/>
          </w:rPr>
          <w:t>2</w:t>
        </w:r>
        <w:r w:rsidRPr="00A56C42">
          <w:rPr>
            <w:rFonts w:ascii="Garamond" w:hAnsi="Garamond"/>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ADAE" w14:textId="77777777" w:rsidR="00F44E21" w:rsidRDefault="00F44E21" w:rsidP="00C520ED">
      <w:pPr>
        <w:spacing w:after="0"/>
      </w:pPr>
      <w:r>
        <w:separator/>
      </w:r>
    </w:p>
  </w:footnote>
  <w:footnote w:type="continuationSeparator" w:id="0">
    <w:p w14:paraId="3F262B8F" w14:textId="77777777" w:rsidR="00F44E21" w:rsidRDefault="00F44E21" w:rsidP="00C520ED">
      <w:pPr>
        <w:spacing w:after="0"/>
      </w:pPr>
      <w:r>
        <w:continuationSeparator/>
      </w:r>
    </w:p>
  </w:footnote>
  <w:footnote w:id="1">
    <w:p w14:paraId="576B4EFB" w14:textId="234C8975" w:rsidR="00130FCC" w:rsidRPr="00E76CBA" w:rsidRDefault="00130FCC" w:rsidP="00130FCC">
      <w:pPr>
        <w:pStyle w:val="EndnoteText"/>
        <w:rPr>
          <w:sz w:val="24"/>
          <w:szCs w:val="24"/>
        </w:rPr>
      </w:pPr>
      <w:r>
        <w:rPr>
          <w:rStyle w:val="FootnoteReference"/>
        </w:rPr>
        <w:footnoteRef/>
      </w:r>
      <w:r>
        <w:t xml:space="preserve"> In the present study, the underground economy (also referred to as the shadow economy) encompasses all undeclared, under-declared, non-measured, and under-registered production and transactions—both illegal activities associated with crime and corruption, and legal but non-market activities—that intentionally avoid all forms of taxes, minimum wage requirements, safety standards, social security contributions, maximum working hours, administrative procedures, and legal labour market standards (Sakanko et al., 2024).</w:t>
      </w:r>
    </w:p>
  </w:footnote>
  <w:footnote w:id="2">
    <w:p w14:paraId="1E52E111" w14:textId="77777777" w:rsidR="00F15CE2" w:rsidRPr="00BB23FE" w:rsidRDefault="00F15CE2" w:rsidP="00F15CE2">
      <w:pPr>
        <w:pStyle w:val="FootnoteText"/>
        <w:rPr>
          <w:lang w:val="en-US"/>
        </w:rPr>
      </w:pPr>
      <w:r w:rsidRPr="00AB6D29">
        <w:rPr>
          <w:rStyle w:val="FootnoteReference"/>
        </w:rPr>
        <w:footnoteRef/>
      </w:r>
      <w:r w:rsidRPr="00AB6D29">
        <w:t xml:space="preserve"> We appreciate the anonymous reviewer for highlighting that the strong correlation between the variables of interest and the control variables may raise concerns about multicollinearity. However, it has been noted that the ARDL model can potentially mitigate multicollinearity, as it involves differencing the data to achieve stationarity, which may reduce correlations between the variables (Adebayo et al., 2021; Ahmed et al., 2021). To further investigate this, the </w:t>
      </w:r>
      <w:r w:rsidRPr="00AB6D29">
        <w:rPr>
          <w:rStyle w:val="Strong"/>
          <w:b w:val="0"/>
          <w:bCs w:val="0"/>
        </w:rPr>
        <w:t>variance inflation factor (VIF)</w:t>
      </w:r>
      <w:r w:rsidRPr="00AB6D29">
        <w:t xml:space="preserve"> was computed for both contemporaneous and lagged independent variables. The results (summarised in Appendix Table A1) show an average VIF of 0.00008, indicating the absence of multicollinearity in the models. Additionally, it is worth noting that one common indicator of multicollinearity is a high R² value combined with insignificant t-statistics for many explanatory variables. However, this pattern is not observed in the results presented in Tables 4 and 5.</w:t>
      </w:r>
    </w:p>
  </w:footnote>
  <w:footnote w:id="3">
    <w:p w14:paraId="019F5650" w14:textId="77777777" w:rsidR="00B55CEF" w:rsidRPr="00E76CBA" w:rsidRDefault="00B55CEF" w:rsidP="00B55CEF">
      <w:pPr>
        <w:pStyle w:val="FootnoteText"/>
        <w:rPr>
          <w:lang w:val="en-US"/>
        </w:rPr>
      </w:pPr>
      <w:r w:rsidRPr="00DE4C36">
        <w:rPr>
          <w:rStyle w:val="FootnoteReference"/>
          <w:highlight w:val="yellow"/>
        </w:rPr>
        <w:footnoteRef/>
      </w:r>
      <w:r w:rsidRPr="00DE4C36">
        <w:rPr>
          <w:highlight w:val="yellow"/>
        </w:rPr>
        <w:t xml:space="preserve"> </w:t>
      </w:r>
      <w:r w:rsidRPr="00DE4C36">
        <w:rPr>
          <w:highlight w:val="yellow"/>
          <w:lang w:val="en-US"/>
        </w:rPr>
        <w:t>The six CUSUM and CUSUMSQ plots for the three estimated models are presented in Appendix Figures 1, 2 and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83BDD"/>
    <w:multiLevelType w:val="multilevel"/>
    <w:tmpl w:val="8E58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23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yNLI0sTS2NLEwNTNU0lEKTi0uzszPAykwMqwFAOzFOdEtAAAA"/>
  </w:docVars>
  <w:rsids>
    <w:rsidRoot w:val="00120965"/>
    <w:rsid w:val="000012DD"/>
    <w:rsid w:val="000055EC"/>
    <w:rsid w:val="00014F79"/>
    <w:rsid w:val="000170EE"/>
    <w:rsid w:val="000228AE"/>
    <w:rsid w:val="00022FFC"/>
    <w:rsid w:val="0002384D"/>
    <w:rsid w:val="00024390"/>
    <w:rsid w:val="00030B2A"/>
    <w:rsid w:val="00032BD1"/>
    <w:rsid w:val="0003500F"/>
    <w:rsid w:val="00044C1C"/>
    <w:rsid w:val="00051CF4"/>
    <w:rsid w:val="000536F2"/>
    <w:rsid w:val="00062AA1"/>
    <w:rsid w:val="00062F4B"/>
    <w:rsid w:val="0006461B"/>
    <w:rsid w:val="000650C0"/>
    <w:rsid w:val="00065DBE"/>
    <w:rsid w:val="00067168"/>
    <w:rsid w:val="00070381"/>
    <w:rsid w:val="000705D7"/>
    <w:rsid w:val="00070775"/>
    <w:rsid w:val="000726EB"/>
    <w:rsid w:val="000741B2"/>
    <w:rsid w:val="0007545C"/>
    <w:rsid w:val="00080B91"/>
    <w:rsid w:val="00085E8F"/>
    <w:rsid w:val="00087217"/>
    <w:rsid w:val="000922CB"/>
    <w:rsid w:val="00095C9E"/>
    <w:rsid w:val="00096ACD"/>
    <w:rsid w:val="000A3285"/>
    <w:rsid w:val="000A4C8A"/>
    <w:rsid w:val="000A61F1"/>
    <w:rsid w:val="000A6A8A"/>
    <w:rsid w:val="000B2511"/>
    <w:rsid w:val="000B2A47"/>
    <w:rsid w:val="000B3E7A"/>
    <w:rsid w:val="000B54C2"/>
    <w:rsid w:val="000B615A"/>
    <w:rsid w:val="000B6DB2"/>
    <w:rsid w:val="000C33E5"/>
    <w:rsid w:val="000C4194"/>
    <w:rsid w:val="000C58F6"/>
    <w:rsid w:val="000C6A1E"/>
    <w:rsid w:val="000C750B"/>
    <w:rsid w:val="000C7CEB"/>
    <w:rsid w:val="000D4A0E"/>
    <w:rsid w:val="000D61DC"/>
    <w:rsid w:val="000D7ECB"/>
    <w:rsid w:val="000E1318"/>
    <w:rsid w:val="000E4A8A"/>
    <w:rsid w:val="000E5183"/>
    <w:rsid w:val="000F02C7"/>
    <w:rsid w:val="000F61E7"/>
    <w:rsid w:val="001006CB"/>
    <w:rsid w:val="001021B8"/>
    <w:rsid w:val="00107AC1"/>
    <w:rsid w:val="00120965"/>
    <w:rsid w:val="0012634D"/>
    <w:rsid w:val="00130FCC"/>
    <w:rsid w:val="001414D2"/>
    <w:rsid w:val="00145D86"/>
    <w:rsid w:val="001468A5"/>
    <w:rsid w:val="0014706D"/>
    <w:rsid w:val="00162095"/>
    <w:rsid w:val="0016413B"/>
    <w:rsid w:val="00171DC5"/>
    <w:rsid w:val="00173903"/>
    <w:rsid w:val="0017531E"/>
    <w:rsid w:val="001807AB"/>
    <w:rsid w:val="001807F8"/>
    <w:rsid w:val="00182798"/>
    <w:rsid w:val="00182957"/>
    <w:rsid w:val="00182A30"/>
    <w:rsid w:val="00184479"/>
    <w:rsid w:val="001865D4"/>
    <w:rsid w:val="001A0372"/>
    <w:rsid w:val="001A5FE7"/>
    <w:rsid w:val="001B5846"/>
    <w:rsid w:val="001B72E6"/>
    <w:rsid w:val="001C4A6E"/>
    <w:rsid w:val="001D3831"/>
    <w:rsid w:val="001D3DD0"/>
    <w:rsid w:val="001D4F50"/>
    <w:rsid w:val="001E0361"/>
    <w:rsid w:val="001E077C"/>
    <w:rsid w:val="001E2FEB"/>
    <w:rsid w:val="001E5022"/>
    <w:rsid w:val="001F0A48"/>
    <w:rsid w:val="001F5265"/>
    <w:rsid w:val="001F58C7"/>
    <w:rsid w:val="002056D3"/>
    <w:rsid w:val="0021299E"/>
    <w:rsid w:val="0021509E"/>
    <w:rsid w:val="00224A58"/>
    <w:rsid w:val="00227CF0"/>
    <w:rsid w:val="002365D3"/>
    <w:rsid w:val="00237123"/>
    <w:rsid w:val="002406C3"/>
    <w:rsid w:val="002417CA"/>
    <w:rsid w:val="00245EC1"/>
    <w:rsid w:val="0025657F"/>
    <w:rsid w:val="002579FD"/>
    <w:rsid w:val="00260172"/>
    <w:rsid w:val="00264CBB"/>
    <w:rsid w:val="00266452"/>
    <w:rsid w:val="00267818"/>
    <w:rsid w:val="002720C4"/>
    <w:rsid w:val="00284F99"/>
    <w:rsid w:val="00286103"/>
    <w:rsid w:val="00290D61"/>
    <w:rsid w:val="002A3DE8"/>
    <w:rsid w:val="002A6549"/>
    <w:rsid w:val="002B031F"/>
    <w:rsid w:val="002B0E13"/>
    <w:rsid w:val="002B1AE7"/>
    <w:rsid w:val="002B24AB"/>
    <w:rsid w:val="002B35EF"/>
    <w:rsid w:val="002B5BE5"/>
    <w:rsid w:val="002C00E1"/>
    <w:rsid w:val="002C567A"/>
    <w:rsid w:val="002C5FDA"/>
    <w:rsid w:val="002D0AE3"/>
    <w:rsid w:val="002D1882"/>
    <w:rsid w:val="002D7266"/>
    <w:rsid w:val="002E1ED0"/>
    <w:rsid w:val="002E3C35"/>
    <w:rsid w:val="002E58C3"/>
    <w:rsid w:val="002F3A50"/>
    <w:rsid w:val="00305448"/>
    <w:rsid w:val="003059E7"/>
    <w:rsid w:val="00306C06"/>
    <w:rsid w:val="003071AD"/>
    <w:rsid w:val="00307635"/>
    <w:rsid w:val="00311F6F"/>
    <w:rsid w:val="00312695"/>
    <w:rsid w:val="003126C3"/>
    <w:rsid w:val="00314010"/>
    <w:rsid w:val="003157B1"/>
    <w:rsid w:val="00315896"/>
    <w:rsid w:val="00317E56"/>
    <w:rsid w:val="00320799"/>
    <w:rsid w:val="00320B42"/>
    <w:rsid w:val="0032562C"/>
    <w:rsid w:val="003316CB"/>
    <w:rsid w:val="00335F25"/>
    <w:rsid w:val="00343254"/>
    <w:rsid w:val="003442CA"/>
    <w:rsid w:val="00353A03"/>
    <w:rsid w:val="00353E96"/>
    <w:rsid w:val="00356F90"/>
    <w:rsid w:val="003649A9"/>
    <w:rsid w:val="0036625B"/>
    <w:rsid w:val="0037452D"/>
    <w:rsid w:val="003763C5"/>
    <w:rsid w:val="00385DFA"/>
    <w:rsid w:val="00386E00"/>
    <w:rsid w:val="00387369"/>
    <w:rsid w:val="00392BC4"/>
    <w:rsid w:val="003976E7"/>
    <w:rsid w:val="003A2E0E"/>
    <w:rsid w:val="003A43A9"/>
    <w:rsid w:val="003A561E"/>
    <w:rsid w:val="003A657B"/>
    <w:rsid w:val="003A66A5"/>
    <w:rsid w:val="003A6AA0"/>
    <w:rsid w:val="003B5F5F"/>
    <w:rsid w:val="003B600E"/>
    <w:rsid w:val="003C26ED"/>
    <w:rsid w:val="003E2B87"/>
    <w:rsid w:val="003E4FD6"/>
    <w:rsid w:val="003E5570"/>
    <w:rsid w:val="003E5D57"/>
    <w:rsid w:val="003F3172"/>
    <w:rsid w:val="003F46B9"/>
    <w:rsid w:val="003F6899"/>
    <w:rsid w:val="003F6D52"/>
    <w:rsid w:val="003F7D38"/>
    <w:rsid w:val="00416B32"/>
    <w:rsid w:val="004206D4"/>
    <w:rsid w:val="00425224"/>
    <w:rsid w:val="00427E4C"/>
    <w:rsid w:val="00434D57"/>
    <w:rsid w:val="0044151E"/>
    <w:rsid w:val="00444790"/>
    <w:rsid w:val="00444CB1"/>
    <w:rsid w:val="00452E0A"/>
    <w:rsid w:val="004530F1"/>
    <w:rsid w:val="0046555D"/>
    <w:rsid w:val="00466AA6"/>
    <w:rsid w:val="00480D1E"/>
    <w:rsid w:val="004A2525"/>
    <w:rsid w:val="004B2DE9"/>
    <w:rsid w:val="004B2E69"/>
    <w:rsid w:val="004B4BC1"/>
    <w:rsid w:val="004B7DFD"/>
    <w:rsid w:val="004C4C04"/>
    <w:rsid w:val="004D0B44"/>
    <w:rsid w:val="004D5F6B"/>
    <w:rsid w:val="004D6F74"/>
    <w:rsid w:val="004D7D05"/>
    <w:rsid w:val="004E483A"/>
    <w:rsid w:val="004F0985"/>
    <w:rsid w:val="004F2626"/>
    <w:rsid w:val="005000A2"/>
    <w:rsid w:val="00501AB6"/>
    <w:rsid w:val="00502B12"/>
    <w:rsid w:val="00503CA3"/>
    <w:rsid w:val="00506175"/>
    <w:rsid w:val="005071E8"/>
    <w:rsid w:val="005136DA"/>
    <w:rsid w:val="00514CF5"/>
    <w:rsid w:val="00517292"/>
    <w:rsid w:val="0052209D"/>
    <w:rsid w:val="005232B8"/>
    <w:rsid w:val="00532B19"/>
    <w:rsid w:val="00534573"/>
    <w:rsid w:val="005377F3"/>
    <w:rsid w:val="00543CC6"/>
    <w:rsid w:val="00546970"/>
    <w:rsid w:val="00550586"/>
    <w:rsid w:val="00551A5F"/>
    <w:rsid w:val="005521DB"/>
    <w:rsid w:val="00560134"/>
    <w:rsid w:val="005619F7"/>
    <w:rsid w:val="0056651F"/>
    <w:rsid w:val="00571987"/>
    <w:rsid w:val="00572EE0"/>
    <w:rsid w:val="005758A7"/>
    <w:rsid w:val="0058075A"/>
    <w:rsid w:val="00581455"/>
    <w:rsid w:val="0058770F"/>
    <w:rsid w:val="00593610"/>
    <w:rsid w:val="005972C1"/>
    <w:rsid w:val="005A4B12"/>
    <w:rsid w:val="005B0054"/>
    <w:rsid w:val="005B121D"/>
    <w:rsid w:val="005B2288"/>
    <w:rsid w:val="005B58E1"/>
    <w:rsid w:val="005C1716"/>
    <w:rsid w:val="005C171F"/>
    <w:rsid w:val="005C2C69"/>
    <w:rsid w:val="005C3A96"/>
    <w:rsid w:val="005C57A9"/>
    <w:rsid w:val="005E03B6"/>
    <w:rsid w:val="005E4FE3"/>
    <w:rsid w:val="005E51B7"/>
    <w:rsid w:val="005E5318"/>
    <w:rsid w:val="005E5930"/>
    <w:rsid w:val="005E709F"/>
    <w:rsid w:val="005F0B79"/>
    <w:rsid w:val="005F1B18"/>
    <w:rsid w:val="005F25C6"/>
    <w:rsid w:val="005F3E92"/>
    <w:rsid w:val="005F5ACB"/>
    <w:rsid w:val="006002F2"/>
    <w:rsid w:val="00601308"/>
    <w:rsid w:val="00603ADE"/>
    <w:rsid w:val="006058E6"/>
    <w:rsid w:val="00607AD3"/>
    <w:rsid w:val="006102B7"/>
    <w:rsid w:val="00617C7C"/>
    <w:rsid w:val="006202C1"/>
    <w:rsid w:val="00623B09"/>
    <w:rsid w:val="00627AA3"/>
    <w:rsid w:val="0063244E"/>
    <w:rsid w:val="00632B80"/>
    <w:rsid w:val="006331E6"/>
    <w:rsid w:val="00636DE4"/>
    <w:rsid w:val="00644896"/>
    <w:rsid w:val="006536F9"/>
    <w:rsid w:val="00653728"/>
    <w:rsid w:val="006560F0"/>
    <w:rsid w:val="006569BA"/>
    <w:rsid w:val="0066167E"/>
    <w:rsid w:val="00670EC6"/>
    <w:rsid w:val="0067120D"/>
    <w:rsid w:val="00671264"/>
    <w:rsid w:val="0067371B"/>
    <w:rsid w:val="00675327"/>
    <w:rsid w:val="00676066"/>
    <w:rsid w:val="006766DA"/>
    <w:rsid w:val="00676E20"/>
    <w:rsid w:val="0068001C"/>
    <w:rsid w:val="00692075"/>
    <w:rsid w:val="00694D72"/>
    <w:rsid w:val="006969EC"/>
    <w:rsid w:val="00697B9B"/>
    <w:rsid w:val="006A4C19"/>
    <w:rsid w:val="006B6115"/>
    <w:rsid w:val="006B6B15"/>
    <w:rsid w:val="006B7683"/>
    <w:rsid w:val="006C1234"/>
    <w:rsid w:val="006C1E7A"/>
    <w:rsid w:val="006C2CC0"/>
    <w:rsid w:val="006C520E"/>
    <w:rsid w:val="006C7967"/>
    <w:rsid w:val="006D0C2A"/>
    <w:rsid w:val="006D1931"/>
    <w:rsid w:val="006D405B"/>
    <w:rsid w:val="006D4B2C"/>
    <w:rsid w:val="006D5844"/>
    <w:rsid w:val="006D7630"/>
    <w:rsid w:val="006D7A81"/>
    <w:rsid w:val="006D7DF6"/>
    <w:rsid w:val="006D7E19"/>
    <w:rsid w:val="006E1AFD"/>
    <w:rsid w:val="006E225D"/>
    <w:rsid w:val="006E32B3"/>
    <w:rsid w:val="006E5AA2"/>
    <w:rsid w:val="006E6AAE"/>
    <w:rsid w:val="006F298B"/>
    <w:rsid w:val="006F4306"/>
    <w:rsid w:val="006F675D"/>
    <w:rsid w:val="00711800"/>
    <w:rsid w:val="00714B8C"/>
    <w:rsid w:val="00716C00"/>
    <w:rsid w:val="00717395"/>
    <w:rsid w:val="0072122E"/>
    <w:rsid w:val="007278D3"/>
    <w:rsid w:val="0074152B"/>
    <w:rsid w:val="007419DE"/>
    <w:rsid w:val="00743AFE"/>
    <w:rsid w:val="007447E4"/>
    <w:rsid w:val="00745EF6"/>
    <w:rsid w:val="00755FCC"/>
    <w:rsid w:val="00757154"/>
    <w:rsid w:val="00757A7D"/>
    <w:rsid w:val="00762DA4"/>
    <w:rsid w:val="00763AB8"/>
    <w:rsid w:val="00773908"/>
    <w:rsid w:val="007762E2"/>
    <w:rsid w:val="00793C45"/>
    <w:rsid w:val="00794D8D"/>
    <w:rsid w:val="007A09DA"/>
    <w:rsid w:val="007A29D3"/>
    <w:rsid w:val="007A5724"/>
    <w:rsid w:val="007A6A82"/>
    <w:rsid w:val="007B0B7B"/>
    <w:rsid w:val="007B7A36"/>
    <w:rsid w:val="007E4ED3"/>
    <w:rsid w:val="007E5EA0"/>
    <w:rsid w:val="007E720C"/>
    <w:rsid w:val="007F03B3"/>
    <w:rsid w:val="007F6C51"/>
    <w:rsid w:val="00800503"/>
    <w:rsid w:val="00800BC4"/>
    <w:rsid w:val="00810544"/>
    <w:rsid w:val="00811E5D"/>
    <w:rsid w:val="0081754C"/>
    <w:rsid w:val="0082282B"/>
    <w:rsid w:val="0083049A"/>
    <w:rsid w:val="00830CC7"/>
    <w:rsid w:val="00831B92"/>
    <w:rsid w:val="00833DFA"/>
    <w:rsid w:val="00837CBE"/>
    <w:rsid w:val="00842E9B"/>
    <w:rsid w:val="00845C77"/>
    <w:rsid w:val="008462DF"/>
    <w:rsid w:val="0084681B"/>
    <w:rsid w:val="00850F53"/>
    <w:rsid w:val="00853B56"/>
    <w:rsid w:val="00857CD3"/>
    <w:rsid w:val="008601B1"/>
    <w:rsid w:val="00860D7D"/>
    <w:rsid w:val="00865ADB"/>
    <w:rsid w:val="0087117A"/>
    <w:rsid w:val="00871CE1"/>
    <w:rsid w:val="0087263B"/>
    <w:rsid w:val="00877A0D"/>
    <w:rsid w:val="008850F3"/>
    <w:rsid w:val="008852AC"/>
    <w:rsid w:val="008902A4"/>
    <w:rsid w:val="00891886"/>
    <w:rsid w:val="00892144"/>
    <w:rsid w:val="00897AE9"/>
    <w:rsid w:val="008A0184"/>
    <w:rsid w:val="008A162A"/>
    <w:rsid w:val="008A1A75"/>
    <w:rsid w:val="008A3C3E"/>
    <w:rsid w:val="008A4DB7"/>
    <w:rsid w:val="008A5F1D"/>
    <w:rsid w:val="008A69C3"/>
    <w:rsid w:val="008B5544"/>
    <w:rsid w:val="008C051D"/>
    <w:rsid w:val="008C170E"/>
    <w:rsid w:val="008C2286"/>
    <w:rsid w:val="008C3136"/>
    <w:rsid w:val="008C5940"/>
    <w:rsid w:val="008D27B3"/>
    <w:rsid w:val="008D43BA"/>
    <w:rsid w:val="008D4677"/>
    <w:rsid w:val="008D4CFB"/>
    <w:rsid w:val="008E4350"/>
    <w:rsid w:val="008F6476"/>
    <w:rsid w:val="008F662C"/>
    <w:rsid w:val="009030D9"/>
    <w:rsid w:val="00904B75"/>
    <w:rsid w:val="00904D9F"/>
    <w:rsid w:val="00907DEC"/>
    <w:rsid w:val="0091011B"/>
    <w:rsid w:val="009162E1"/>
    <w:rsid w:val="00930A79"/>
    <w:rsid w:val="0093381E"/>
    <w:rsid w:val="0093553E"/>
    <w:rsid w:val="009358B8"/>
    <w:rsid w:val="00935ECF"/>
    <w:rsid w:val="009360CE"/>
    <w:rsid w:val="00942EDC"/>
    <w:rsid w:val="00944A7B"/>
    <w:rsid w:val="0094567F"/>
    <w:rsid w:val="00945A80"/>
    <w:rsid w:val="00953349"/>
    <w:rsid w:val="00953E32"/>
    <w:rsid w:val="00961DB9"/>
    <w:rsid w:val="009624BB"/>
    <w:rsid w:val="009659EF"/>
    <w:rsid w:val="00971D56"/>
    <w:rsid w:val="0097617D"/>
    <w:rsid w:val="00980E48"/>
    <w:rsid w:val="00983AE1"/>
    <w:rsid w:val="00986E97"/>
    <w:rsid w:val="00990446"/>
    <w:rsid w:val="009919C5"/>
    <w:rsid w:val="00992518"/>
    <w:rsid w:val="00995B8E"/>
    <w:rsid w:val="009A0C13"/>
    <w:rsid w:val="009A45AD"/>
    <w:rsid w:val="009A5D8E"/>
    <w:rsid w:val="009B6C99"/>
    <w:rsid w:val="009C377F"/>
    <w:rsid w:val="009D20FF"/>
    <w:rsid w:val="009D6AB2"/>
    <w:rsid w:val="009E7BB6"/>
    <w:rsid w:val="009F2122"/>
    <w:rsid w:val="00A0397C"/>
    <w:rsid w:val="00A07ED9"/>
    <w:rsid w:val="00A10EB5"/>
    <w:rsid w:val="00A31038"/>
    <w:rsid w:val="00A34E8F"/>
    <w:rsid w:val="00A362A1"/>
    <w:rsid w:val="00A425A0"/>
    <w:rsid w:val="00A44626"/>
    <w:rsid w:val="00A45EEF"/>
    <w:rsid w:val="00A46D0C"/>
    <w:rsid w:val="00A56C42"/>
    <w:rsid w:val="00A652CD"/>
    <w:rsid w:val="00A662A8"/>
    <w:rsid w:val="00A71A3E"/>
    <w:rsid w:val="00A75B44"/>
    <w:rsid w:val="00A772AB"/>
    <w:rsid w:val="00A82B96"/>
    <w:rsid w:val="00A87769"/>
    <w:rsid w:val="00A90C49"/>
    <w:rsid w:val="00A90EBA"/>
    <w:rsid w:val="00A92949"/>
    <w:rsid w:val="00A96885"/>
    <w:rsid w:val="00AA0FCF"/>
    <w:rsid w:val="00AA5A09"/>
    <w:rsid w:val="00AA6BC8"/>
    <w:rsid w:val="00AA7C39"/>
    <w:rsid w:val="00AB04BF"/>
    <w:rsid w:val="00AB6455"/>
    <w:rsid w:val="00AB6A70"/>
    <w:rsid w:val="00AB6D29"/>
    <w:rsid w:val="00AB7B07"/>
    <w:rsid w:val="00AC239C"/>
    <w:rsid w:val="00AC2836"/>
    <w:rsid w:val="00AC448E"/>
    <w:rsid w:val="00AD1042"/>
    <w:rsid w:val="00AD1073"/>
    <w:rsid w:val="00AD5B93"/>
    <w:rsid w:val="00AD5CFB"/>
    <w:rsid w:val="00AE0684"/>
    <w:rsid w:val="00AE179F"/>
    <w:rsid w:val="00AF13FA"/>
    <w:rsid w:val="00AF1806"/>
    <w:rsid w:val="00B02105"/>
    <w:rsid w:val="00B05B91"/>
    <w:rsid w:val="00B05D21"/>
    <w:rsid w:val="00B07F5C"/>
    <w:rsid w:val="00B12692"/>
    <w:rsid w:val="00B17D6F"/>
    <w:rsid w:val="00B20974"/>
    <w:rsid w:val="00B20A6B"/>
    <w:rsid w:val="00B21CF9"/>
    <w:rsid w:val="00B220FA"/>
    <w:rsid w:val="00B230FD"/>
    <w:rsid w:val="00B23A29"/>
    <w:rsid w:val="00B268E2"/>
    <w:rsid w:val="00B27188"/>
    <w:rsid w:val="00B27CD8"/>
    <w:rsid w:val="00B27DE1"/>
    <w:rsid w:val="00B34B3E"/>
    <w:rsid w:val="00B3692F"/>
    <w:rsid w:val="00B40D76"/>
    <w:rsid w:val="00B50294"/>
    <w:rsid w:val="00B542BE"/>
    <w:rsid w:val="00B54D88"/>
    <w:rsid w:val="00B55CEF"/>
    <w:rsid w:val="00B55F57"/>
    <w:rsid w:val="00B56C89"/>
    <w:rsid w:val="00B60008"/>
    <w:rsid w:val="00B618B2"/>
    <w:rsid w:val="00B638B3"/>
    <w:rsid w:val="00B64E61"/>
    <w:rsid w:val="00B65A4F"/>
    <w:rsid w:val="00B67939"/>
    <w:rsid w:val="00B72274"/>
    <w:rsid w:val="00B739FC"/>
    <w:rsid w:val="00B8177C"/>
    <w:rsid w:val="00B945ED"/>
    <w:rsid w:val="00B962E1"/>
    <w:rsid w:val="00B96C0A"/>
    <w:rsid w:val="00BA2DEB"/>
    <w:rsid w:val="00BA5EDF"/>
    <w:rsid w:val="00BA75BA"/>
    <w:rsid w:val="00BB05C2"/>
    <w:rsid w:val="00BB1B82"/>
    <w:rsid w:val="00BB23FE"/>
    <w:rsid w:val="00BB2D41"/>
    <w:rsid w:val="00BC1A23"/>
    <w:rsid w:val="00BC2EC2"/>
    <w:rsid w:val="00BC6CA9"/>
    <w:rsid w:val="00BD1F79"/>
    <w:rsid w:val="00BD32A1"/>
    <w:rsid w:val="00BD390A"/>
    <w:rsid w:val="00BD5993"/>
    <w:rsid w:val="00BE0096"/>
    <w:rsid w:val="00BE00C5"/>
    <w:rsid w:val="00BE39F0"/>
    <w:rsid w:val="00BE7BD2"/>
    <w:rsid w:val="00BF0D56"/>
    <w:rsid w:val="00BF6D04"/>
    <w:rsid w:val="00C016BD"/>
    <w:rsid w:val="00C02405"/>
    <w:rsid w:val="00C027AF"/>
    <w:rsid w:val="00C027BB"/>
    <w:rsid w:val="00C02CF6"/>
    <w:rsid w:val="00C036CE"/>
    <w:rsid w:val="00C07D46"/>
    <w:rsid w:val="00C11AF8"/>
    <w:rsid w:val="00C1408A"/>
    <w:rsid w:val="00C154F1"/>
    <w:rsid w:val="00C17358"/>
    <w:rsid w:val="00C1763F"/>
    <w:rsid w:val="00C21B15"/>
    <w:rsid w:val="00C21CAE"/>
    <w:rsid w:val="00C26C73"/>
    <w:rsid w:val="00C3079B"/>
    <w:rsid w:val="00C31233"/>
    <w:rsid w:val="00C32F92"/>
    <w:rsid w:val="00C358E2"/>
    <w:rsid w:val="00C41E96"/>
    <w:rsid w:val="00C42109"/>
    <w:rsid w:val="00C449F8"/>
    <w:rsid w:val="00C44B35"/>
    <w:rsid w:val="00C506A3"/>
    <w:rsid w:val="00C520ED"/>
    <w:rsid w:val="00C53215"/>
    <w:rsid w:val="00C5352F"/>
    <w:rsid w:val="00C55539"/>
    <w:rsid w:val="00C57B2B"/>
    <w:rsid w:val="00C61715"/>
    <w:rsid w:val="00C63A7E"/>
    <w:rsid w:val="00C66DCA"/>
    <w:rsid w:val="00C7099D"/>
    <w:rsid w:val="00C767E4"/>
    <w:rsid w:val="00C824E9"/>
    <w:rsid w:val="00C860C5"/>
    <w:rsid w:val="00C90963"/>
    <w:rsid w:val="00C9315F"/>
    <w:rsid w:val="00C94B5C"/>
    <w:rsid w:val="00C963E4"/>
    <w:rsid w:val="00C97106"/>
    <w:rsid w:val="00CA5167"/>
    <w:rsid w:val="00CB2838"/>
    <w:rsid w:val="00CB43B3"/>
    <w:rsid w:val="00CC0158"/>
    <w:rsid w:val="00CC12D6"/>
    <w:rsid w:val="00CC3038"/>
    <w:rsid w:val="00CC6E3A"/>
    <w:rsid w:val="00CD4B79"/>
    <w:rsid w:val="00CE22BE"/>
    <w:rsid w:val="00CF2109"/>
    <w:rsid w:val="00CF4C33"/>
    <w:rsid w:val="00CF5DA6"/>
    <w:rsid w:val="00CF69E3"/>
    <w:rsid w:val="00CF6F19"/>
    <w:rsid w:val="00CF7C7D"/>
    <w:rsid w:val="00D00E4C"/>
    <w:rsid w:val="00D05BDB"/>
    <w:rsid w:val="00D1178D"/>
    <w:rsid w:val="00D12FF8"/>
    <w:rsid w:val="00D13A29"/>
    <w:rsid w:val="00D1682C"/>
    <w:rsid w:val="00D21665"/>
    <w:rsid w:val="00D23167"/>
    <w:rsid w:val="00D246E8"/>
    <w:rsid w:val="00D2596A"/>
    <w:rsid w:val="00D35F73"/>
    <w:rsid w:val="00D36648"/>
    <w:rsid w:val="00D36D79"/>
    <w:rsid w:val="00D36DDC"/>
    <w:rsid w:val="00D37DC9"/>
    <w:rsid w:val="00D42F3D"/>
    <w:rsid w:val="00D4658F"/>
    <w:rsid w:val="00D46ED2"/>
    <w:rsid w:val="00D54EE8"/>
    <w:rsid w:val="00D57E1F"/>
    <w:rsid w:val="00D63CE2"/>
    <w:rsid w:val="00D701E8"/>
    <w:rsid w:val="00D8320B"/>
    <w:rsid w:val="00D84043"/>
    <w:rsid w:val="00DA0CD0"/>
    <w:rsid w:val="00DA6627"/>
    <w:rsid w:val="00DB135F"/>
    <w:rsid w:val="00DB1665"/>
    <w:rsid w:val="00DB1ACE"/>
    <w:rsid w:val="00DB3325"/>
    <w:rsid w:val="00DB7BE7"/>
    <w:rsid w:val="00DC492E"/>
    <w:rsid w:val="00DC6C25"/>
    <w:rsid w:val="00DC6FE8"/>
    <w:rsid w:val="00DE4C36"/>
    <w:rsid w:val="00DF0E72"/>
    <w:rsid w:val="00DF6003"/>
    <w:rsid w:val="00DF6353"/>
    <w:rsid w:val="00E00BF0"/>
    <w:rsid w:val="00E0391F"/>
    <w:rsid w:val="00E051C3"/>
    <w:rsid w:val="00E15EF1"/>
    <w:rsid w:val="00E20CA3"/>
    <w:rsid w:val="00E2592C"/>
    <w:rsid w:val="00E2773A"/>
    <w:rsid w:val="00E27BE3"/>
    <w:rsid w:val="00E30EC1"/>
    <w:rsid w:val="00E3232B"/>
    <w:rsid w:val="00E32DB3"/>
    <w:rsid w:val="00E33E39"/>
    <w:rsid w:val="00E40ABD"/>
    <w:rsid w:val="00E4197B"/>
    <w:rsid w:val="00E446F7"/>
    <w:rsid w:val="00E45B7C"/>
    <w:rsid w:val="00E508D8"/>
    <w:rsid w:val="00E63C26"/>
    <w:rsid w:val="00E65FA4"/>
    <w:rsid w:val="00E76CBA"/>
    <w:rsid w:val="00E815CA"/>
    <w:rsid w:val="00E820A5"/>
    <w:rsid w:val="00E837B6"/>
    <w:rsid w:val="00E90C17"/>
    <w:rsid w:val="00EA00D6"/>
    <w:rsid w:val="00EA1F48"/>
    <w:rsid w:val="00EA5AFB"/>
    <w:rsid w:val="00EB03FA"/>
    <w:rsid w:val="00EB2E9E"/>
    <w:rsid w:val="00EB3AEA"/>
    <w:rsid w:val="00EB5BCA"/>
    <w:rsid w:val="00EB6265"/>
    <w:rsid w:val="00EC2A51"/>
    <w:rsid w:val="00EC5BA8"/>
    <w:rsid w:val="00EC681F"/>
    <w:rsid w:val="00EC718C"/>
    <w:rsid w:val="00ED5EB8"/>
    <w:rsid w:val="00ED61AA"/>
    <w:rsid w:val="00ED6290"/>
    <w:rsid w:val="00ED6419"/>
    <w:rsid w:val="00ED7F6D"/>
    <w:rsid w:val="00EE2363"/>
    <w:rsid w:val="00EF07FF"/>
    <w:rsid w:val="00EF32DB"/>
    <w:rsid w:val="00EF52D0"/>
    <w:rsid w:val="00F00C70"/>
    <w:rsid w:val="00F11E9A"/>
    <w:rsid w:val="00F12578"/>
    <w:rsid w:val="00F15CE2"/>
    <w:rsid w:val="00F21146"/>
    <w:rsid w:val="00F23D3F"/>
    <w:rsid w:val="00F24B8A"/>
    <w:rsid w:val="00F36152"/>
    <w:rsid w:val="00F376A4"/>
    <w:rsid w:val="00F44E21"/>
    <w:rsid w:val="00F46B60"/>
    <w:rsid w:val="00F46CC6"/>
    <w:rsid w:val="00F4732C"/>
    <w:rsid w:val="00F606FA"/>
    <w:rsid w:val="00F618CC"/>
    <w:rsid w:val="00F65591"/>
    <w:rsid w:val="00F6634C"/>
    <w:rsid w:val="00F665E0"/>
    <w:rsid w:val="00F6687D"/>
    <w:rsid w:val="00F67552"/>
    <w:rsid w:val="00F7028F"/>
    <w:rsid w:val="00F74C09"/>
    <w:rsid w:val="00F74C7A"/>
    <w:rsid w:val="00F757C1"/>
    <w:rsid w:val="00F77B23"/>
    <w:rsid w:val="00F77CC3"/>
    <w:rsid w:val="00F80185"/>
    <w:rsid w:val="00F8031B"/>
    <w:rsid w:val="00F84B6A"/>
    <w:rsid w:val="00F84D76"/>
    <w:rsid w:val="00F873F5"/>
    <w:rsid w:val="00F91183"/>
    <w:rsid w:val="00F92516"/>
    <w:rsid w:val="00F96BCC"/>
    <w:rsid w:val="00FA18CD"/>
    <w:rsid w:val="00FA312A"/>
    <w:rsid w:val="00FA45C7"/>
    <w:rsid w:val="00FB1795"/>
    <w:rsid w:val="00FB6FC9"/>
    <w:rsid w:val="00FC2277"/>
    <w:rsid w:val="00FC44E4"/>
    <w:rsid w:val="00FC5AB1"/>
    <w:rsid w:val="00FC6E86"/>
    <w:rsid w:val="00FC6F36"/>
    <w:rsid w:val="00FD5EF5"/>
    <w:rsid w:val="00FE0CA4"/>
    <w:rsid w:val="00FE424E"/>
    <w:rsid w:val="00FE42D6"/>
    <w:rsid w:val="00FE6706"/>
    <w:rsid w:val="00FE6B3C"/>
    <w:rsid w:val="00FE7CC6"/>
    <w:rsid w:val="00FF4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D08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90"/>
    <w:rPr>
      <w:lang w:val="en-GB"/>
    </w:rPr>
  </w:style>
  <w:style w:type="paragraph" w:styleId="Heading1">
    <w:name w:val="heading 1"/>
    <w:basedOn w:val="Normal"/>
    <w:next w:val="Normal"/>
    <w:link w:val="Heading1Char"/>
    <w:uiPriority w:val="9"/>
    <w:qFormat/>
    <w:rsid w:val="00601308"/>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A3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965"/>
    <w:pPr>
      <w:spacing w:before="100" w:beforeAutospacing="1" w:after="100" w:afterAutospacing="1"/>
      <w:jc w:val="left"/>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120965"/>
    <w:rPr>
      <w:color w:val="0000FF"/>
      <w:u w:val="single"/>
    </w:rPr>
  </w:style>
  <w:style w:type="character" w:styleId="UnresolvedMention">
    <w:name w:val="Unresolved Mention"/>
    <w:basedOn w:val="DefaultParagraphFont"/>
    <w:uiPriority w:val="99"/>
    <w:semiHidden/>
    <w:unhideWhenUsed/>
    <w:rsid w:val="00120965"/>
    <w:rPr>
      <w:color w:val="605E5C"/>
      <w:shd w:val="clear" w:color="auto" w:fill="E1DFDD"/>
    </w:rPr>
  </w:style>
  <w:style w:type="paragraph" w:styleId="EndnoteText">
    <w:name w:val="endnote text"/>
    <w:basedOn w:val="Normal"/>
    <w:link w:val="EndnoteTextChar"/>
    <w:uiPriority w:val="99"/>
    <w:unhideWhenUsed/>
    <w:rsid w:val="00C520ED"/>
    <w:pPr>
      <w:spacing w:after="0"/>
    </w:pPr>
    <w:rPr>
      <w:sz w:val="20"/>
      <w:szCs w:val="20"/>
    </w:rPr>
  </w:style>
  <w:style w:type="character" w:customStyle="1" w:styleId="EndnoteTextChar">
    <w:name w:val="Endnote Text Char"/>
    <w:basedOn w:val="DefaultParagraphFont"/>
    <w:link w:val="EndnoteText"/>
    <w:uiPriority w:val="99"/>
    <w:rsid w:val="00C520ED"/>
    <w:rPr>
      <w:sz w:val="20"/>
      <w:szCs w:val="20"/>
      <w:lang w:val="en-GB"/>
    </w:rPr>
  </w:style>
  <w:style w:type="character" w:styleId="EndnoteReference">
    <w:name w:val="endnote reference"/>
    <w:basedOn w:val="DefaultParagraphFont"/>
    <w:uiPriority w:val="99"/>
    <w:semiHidden/>
    <w:unhideWhenUsed/>
    <w:rsid w:val="00C520ED"/>
    <w:rPr>
      <w:vertAlign w:val="superscript"/>
    </w:rPr>
  </w:style>
  <w:style w:type="table" w:styleId="TableGrid">
    <w:name w:val="Table Grid"/>
    <w:aliases w:val="Table UUM"/>
    <w:basedOn w:val="TableNormal"/>
    <w:uiPriority w:val="39"/>
    <w:rsid w:val="007E4E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130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01308"/>
    <w:rPr>
      <w:sz w:val="16"/>
      <w:szCs w:val="16"/>
    </w:rPr>
  </w:style>
  <w:style w:type="character" w:customStyle="1" w:styleId="Heading2Char">
    <w:name w:val="Heading 2 Char"/>
    <w:basedOn w:val="DefaultParagraphFont"/>
    <w:link w:val="Heading2"/>
    <w:uiPriority w:val="9"/>
    <w:rsid w:val="000A3285"/>
    <w:rPr>
      <w:rFonts w:asciiTheme="majorHAnsi" w:eastAsiaTheme="majorEastAsia" w:hAnsiTheme="majorHAnsi" w:cstheme="majorBidi"/>
      <w:color w:val="2F5496" w:themeColor="accent1" w:themeShade="BF"/>
      <w:sz w:val="26"/>
      <w:szCs w:val="26"/>
      <w:lang w:val="en-GB"/>
    </w:rPr>
  </w:style>
  <w:style w:type="paragraph" w:styleId="Footer">
    <w:name w:val="footer"/>
    <w:basedOn w:val="Normal"/>
    <w:link w:val="FooterChar"/>
    <w:uiPriority w:val="99"/>
    <w:unhideWhenUsed/>
    <w:rsid w:val="00CB2838"/>
    <w:pPr>
      <w:tabs>
        <w:tab w:val="center" w:pos="4680"/>
        <w:tab w:val="right" w:pos="9360"/>
      </w:tabs>
      <w:spacing w:after="0"/>
      <w:jc w:val="left"/>
    </w:pPr>
    <w:rPr>
      <w:rFonts w:asciiTheme="minorHAnsi" w:hAnsiTheme="minorHAnsi"/>
      <w:sz w:val="22"/>
    </w:rPr>
  </w:style>
  <w:style w:type="character" w:customStyle="1" w:styleId="FooterChar">
    <w:name w:val="Footer Char"/>
    <w:basedOn w:val="DefaultParagraphFont"/>
    <w:link w:val="Footer"/>
    <w:uiPriority w:val="99"/>
    <w:rsid w:val="00CB2838"/>
    <w:rPr>
      <w:rFonts w:asciiTheme="minorHAnsi" w:hAnsiTheme="minorHAnsi"/>
      <w:sz w:val="22"/>
      <w:lang w:val="en-GB"/>
    </w:rPr>
  </w:style>
  <w:style w:type="paragraph" w:styleId="ListParagraph">
    <w:name w:val="List Paragraph"/>
    <w:basedOn w:val="Normal"/>
    <w:uiPriority w:val="34"/>
    <w:qFormat/>
    <w:rsid w:val="006D7630"/>
    <w:pPr>
      <w:ind w:left="720"/>
      <w:contextualSpacing/>
    </w:pPr>
  </w:style>
  <w:style w:type="character" w:styleId="FollowedHyperlink">
    <w:name w:val="FollowedHyperlink"/>
    <w:basedOn w:val="DefaultParagraphFont"/>
    <w:uiPriority w:val="99"/>
    <w:semiHidden/>
    <w:unhideWhenUsed/>
    <w:rsid w:val="006D7630"/>
    <w:rPr>
      <w:color w:val="954F72" w:themeColor="followedHyperlink"/>
      <w:u w:val="single"/>
    </w:rPr>
  </w:style>
  <w:style w:type="paragraph" w:styleId="FootnoteText">
    <w:name w:val="footnote text"/>
    <w:basedOn w:val="Normal"/>
    <w:link w:val="FootnoteTextChar"/>
    <w:uiPriority w:val="99"/>
    <w:semiHidden/>
    <w:unhideWhenUsed/>
    <w:rsid w:val="00E76CBA"/>
    <w:pPr>
      <w:spacing w:after="0"/>
    </w:pPr>
    <w:rPr>
      <w:sz w:val="20"/>
      <w:szCs w:val="20"/>
    </w:rPr>
  </w:style>
  <w:style w:type="character" w:customStyle="1" w:styleId="FootnoteTextChar">
    <w:name w:val="Footnote Text Char"/>
    <w:basedOn w:val="DefaultParagraphFont"/>
    <w:link w:val="FootnoteText"/>
    <w:uiPriority w:val="99"/>
    <w:semiHidden/>
    <w:rsid w:val="00E76CBA"/>
    <w:rPr>
      <w:sz w:val="20"/>
      <w:szCs w:val="20"/>
      <w:lang w:val="en-GB"/>
    </w:rPr>
  </w:style>
  <w:style w:type="character" w:styleId="FootnoteReference">
    <w:name w:val="footnote reference"/>
    <w:basedOn w:val="DefaultParagraphFont"/>
    <w:uiPriority w:val="99"/>
    <w:semiHidden/>
    <w:unhideWhenUsed/>
    <w:rsid w:val="00E76CBA"/>
    <w:rPr>
      <w:vertAlign w:val="superscript"/>
    </w:rPr>
  </w:style>
  <w:style w:type="character" w:styleId="Strong">
    <w:name w:val="Strong"/>
    <w:basedOn w:val="DefaultParagraphFont"/>
    <w:uiPriority w:val="22"/>
    <w:qFormat/>
    <w:rsid w:val="00C036CE"/>
    <w:rPr>
      <w:b/>
      <w:bCs/>
    </w:rPr>
  </w:style>
  <w:style w:type="paragraph" w:styleId="Header">
    <w:name w:val="header"/>
    <w:basedOn w:val="Normal"/>
    <w:link w:val="HeaderChar"/>
    <w:uiPriority w:val="99"/>
    <w:unhideWhenUsed/>
    <w:rsid w:val="00A56C42"/>
    <w:pPr>
      <w:tabs>
        <w:tab w:val="center" w:pos="4680"/>
        <w:tab w:val="right" w:pos="9360"/>
      </w:tabs>
      <w:spacing w:after="0"/>
    </w:pPr>
  </w:style>
  <w:style w:type="character" w:customStyle="1" w:styleId="HeaderChar">
    <w:name w:val="Header Char"/>
    <w:basedOn w:val="DefaultParagraphFont"/>
    <w:link w:val="Header"/>
    <w:uiPriority w:val="99"/>
    <w:rsid w:val="00A56C4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2089">
      <w:bodyDiv w:val="1"/>
      <w:marLeft w:val="0"/>
      <w:marRight w:val="0"/>
      <w:marTop w:val="0"/>
      <w:marBottom w:val="0"/>
      <w:divBdr>
        <w:top w:val="none" w:sz="0" w:space="0" w:color="auto"/>
        <w:left w:val="none" w:sz="0" w:space="0" w:color="auto"/>
        <w:bottom w:val="none" w:sz="0" w:space="0" w:color="auto"/>
        <w:right w:val="none" w:sz="0" w:space="0" w:color="auto"/>
      </w:divBdr>
    </w:div>
    <w:div w:id="130174731">
      <w:bodyDiv w:val="1"/>
      <w:marLeft w:val="0"/>
      <w:marRight w:val="0"/>
      <w:marTop w:val="0"/>
      <w:marBottom w:val="0"/>
      <w:divBdr>
        <w:top w:val="none" w:sz="0" w:space="0" w:color="auto"/>
        <w:left w:val="none" w:sz="0" w:space="0" w:color="auto"/>
        <w:bottom w:val="none" w:sz="0" w:space="0" w:color="auto"/>
        <w:right w:val="none" w:sz="0" w:space="0" w:color="auto"/>
      </w:divBdr>
    </w:div>
    <w:div w:id="134878020">
      <w:bodyDiv w:val="1"/>
      <w:marLeft w:val="0"/>
      <w:marRight w:val="0"/>
      <w:marTop w:val="0"/>
      <w:marBottom w:val="0"/>
      <w:divBdr>
        <w:top w:val="none" w:sz="0" w:space="0" w:color="auto"/>
        <w:left w:val="none" w:sz="0" w:space="0" w:color="auto"/>
        <w:bottom w:val="none" w:sz="0" w:space="0" w:color="auto"/>
        <w:right w:val="none" w:sz="0" w:space="0" w:color="auto"/>
      </w:divBdr>
    </w:div>
    <w:div w:id="162858055">
      <w:bodyDiv w:val="1"/>
      <w:marLeft w:val="0"/>
      <w:marRight w:val="0"/>
      <w:marTop w:val="0"/>
      <w:marBottom w:val="0"/>
      <w:divBdr>
        <w:top w:val="none" w:sz="0" w:space="0" w:color="auto"/>
        <w:left w:val="none" w:sz="0" w:space="0" w:color="auto"/>
        <w:bottom w:val="none" w:sz="0" w:space="0" w:color="auto"/>
        <w:right w:val="none" w:sz="0" w:space="0" w:color="auto"/>
      </w:divBdr>
    </w:div>
    <w:div w:id="196897022">
      <w:bodyDiv w:val="1"/>
      <w:marLeft w:val="0"/>
      <w:marRight w:val="0"/>
      <w:marTop w:val="0"/>
      <w:marBottom w:val="0"/>
      <w:divBdr>
        <w:top w:val="none" w:sz="0" w:space="0" w:color="auto"/>
        <w:left w:val="none" w:sz="0" w:space="0" w:color="auto"/>
        <w:bottom w:val="none" w:sz="0" w:space="0" w:color="auto"/>
        <w:right w:val="none" w:sz="0" w:space="0" w:color="auto"/>
      </w:divBdr>
    </w:div>
    <w:div w:id="225067751">
      <w:bodyDiv w:val="1"/>
      <w:marLeft w:val="0"/>
      <w:marRight w:val="0"/>
      <w:marTop w:val="0"/>
      <w:marBottom w:val="0"/>
      <w:divBdr>
        <w:top w:val="none" w:sz="0" w:space="0" w:color="auto"/>
        <w:left w:val="none" w:sz="0" w:space="0" w:color="auto"/>
        <w:bottom w:val="none" w:sz="0" w:space="0" w:color="auto"/>
        <w:right w:val="none" w:sz="0" w:space="0" w:color="auto"/>
      </w:divBdr>
    </w:div>
    <w:div w:id="226383026">
      <w:bodyDiv w:val="1"/>
      <w:marLeft w:val="0"/>
      <w:marRight w:val="0"/>
      <w:marTop w:val="0"/>
      <w:marBottom w:val="0"/>
      <w:divBdr>
        <w:top w:val="none" w:sz="0" w:space="0" w:color="auto"/>
        <w:left w:val="none" w:sz="0" w:space="0" w:color="auto"/>
        <w:bottom w:val="none" w:sz="0" w:space="0" w:color="auto"/>
        <w:right w:val="none" w:sz="0" w:space="0" w:color="auto"/>
      </w:divBdr>
    </w:div>
    <w:div w:id="268590629">
      <w:bodyDiv w:val="1"/>
      <w:marLeft w:val="0"/>
      <w:marRight w:val="0"/>
      <w:marTop w:val="0"/>
      <w:marBottom w:val="0"/>
      <w:divBdr>
        <w:top w:val="none" w:sz="0" w:space="0" w:color="auto"/>
        <w:left w:val="none" w:sz="0" w:space="0" w:color="auto"/>
        <w:bottom w:val="none" w:sz="0" w:space="0" w:color="auto"/>
        <w:right w:val="none" w:sz="0" w:space="0" w:color="auto"/>
      </w:divBdr>
    </w:div>
    <w:div w:id="317080753">
      <w:bodyDiv w:val="1"/>
      <w:marLeft w:val="0"/>
      <w:marRight w:val="0"/>
      <w:marTop w:val="0"/>
      <w:marBottom w:val="0"/>
      <w:divBdr>
        <w:top w:val="none" w:sz="0" w:space="0" w:color="auto"/>
        <w:left w:val="none" w:sz="0" w:space="0" w:color="auto"/>
        <w:bottom w:val="none" w:sz="0" w:space="0" w:color="auto"/>
        <w:right w:val="none" w:sz="0" w:space="0" w:color="auto"/>
      </w:divBdr>
    </w:div>
    <w:div w:id="317733637">
      <w:bodyDiv w:val="1"/>
      <w:marLeft w:val="0"/>
      <w:marRight w:val="0"/>
      <w:marTop w:val="0"/>
      <w:marBottom w:val="0"/>
      <w:divBdr>
        <w:top w:val="none" w:sz="0" w:space="0" w:color="auto"/>
        <w:left w:val="none" w:sz="0" w:space="0" w:color="auto"/>
        <w:bottom w:val="none" w:sz="0" w:space="0" w:color="auto"/>
        <w:right w:val="none" w:sz="0" w:space="0" w:color="auto"/>
      </w:divBdr>
    </w:div>
    <w:div w:id="327439939">
      <w:bodyDiv w:val="1"/>
      <w:marLeft w:val="0"/>
      <w:marRight w:val="0"/>
      <w:marTop w:val="0"/>
      <w:marBottom w:val="0"/>
      <w:divBdr>
        <w:top w:val="none" w:sz="0" w:space="0" w:color="auto"/>
        <w:left w:val="none" w:sz="0" w:space="0" w:color="auto"/>
        <w:bottom w:val="none" w:sz="0" w:space="0" w:color="auto"/>
        <w:right w:val="none" w:sz="0" w:space="0" w:color="auto"/>
      </w:divBdr>
    </w:div>
    <w:div w:id="364989978">
      <w:bodyDiv w:val="1"/>
      <w:marLeft w:val="0"/>
      <w:marRight w:val="0"/>
      <w:marTop w:val="0"/>
      <w:marBottom w:val="0"/>
      <w:divBdr>
        <w:top w:val="none" w:sz="0" w:space="0" w:color="auto"/>
        <w:left w:val="none" w:sz="0" w:space="0" w:color="auto"/>
        <w:bottom w:val="none" w:sz="0" w:space="0" w:color="auto"/>
        <w:right w:val="none" w:sz="0" w:space="0" w:color="auto"/>
      </w:divBdr>
    </w:div>
    <w:div w:id="389575249">
      <w:bodyDiv w:val="1"/>
      <w:marLeft w:val="0"/>
      <w:marRight w:val="0"/>
      <w:marTop w:val="0"/>
      <w:marBottom w:val="0"/>
      <w:divBdr>
        <w:top w:val="none" w:sz="0" w:space="0" w:color="auto"/>
        <w:left w:val="none" w:sz="0" w:space="0" w:color="auto"/>
        <w:bottom w:val="none" w:sz="0" w:space="0" w:color="auto"/>
        <w:right w:val="none" w:sz="0" w:space="0" w:color="auto"/>
      </w:divBdr>
    </w:div>
    <w:div w:id="494885185">
      <w:bodyDiv w:val="1"/>
      <w:marLeft w:val="0"/>
      <w:marRight w:val="0"/>
      <w:marTop w:val="0"/>
      <w:marBottom w:val="0"/>
      <w:divBdr>
        <w:top w:val="none" w:sz="0" w:space="0" w:color="auto"/>
        <w:left w:val="none" w:sz="0" w:space="0" w:color="auto"/>
        <w:bottom w:val="none" w:sz="0" w:space="0" w:color="auto"/>
        <w:right w:val="none" w:sz="0" w:space="0" w:color="auto"/>
      </w:divBdr>
    </w:div>
    <w:div w:id="511644926">
      <w:bodyDiv w:val="1"/>
      <w:marLeft w:val="0"/>
      <w:marRight w:val="0"/>
      <w:marTop w:val="0"/>
      <w:marBottom w:val="0"/>
      <w:divBdr>
        <w:top w:val="none" w:sz="0" w:space="0" w:color="auto"/>
        <w:left w:val="none" w:sz="0" w:space="0" w:color="auto"/>
        <w:bottom w:val="none" w:sz="0" w:space="0" w:color="auto"/>
        <w:right w:val="none" w:sz="0" w:space="0" w:color="auto"/>
      </w:divBdr>
    </w:div>
    <w:div w:id="555822535">
      <w:bodyDiv w:val="1"/>
      <w:marLeft w:val="0"/>
      <w:marRight w:val="0"/>
      <w:marTop w:val="0"/>
      <w:marBottom w:val="0"/>
      <w:divBdr>
        <w:top w:val="none" w:sz="0" w:space="0" w:color="auto"/>
        <w:left w:val="none" w:sz="0" w:space="0" w:color="auto"/>
        <w:bottom w:val="none" w:sz="0" w:space="0" w:color="auto"/>
        <w:right w:val="none" w:sz="0" w:space="0" w:color="auto"/>
      </w:divBdr>
    </w:div>
    <w:div w:id="584723494">
      <w:bodyDiv w:val="1"/>
      <w:marLeft w:val="0"/>
      <w:marRight w:val="0"/>
      <w:marTop w:val="0"/>
      <w:marBottom w:val="0"/>
      <w:divBdr>
        <w:top w:val="none" w:sz="0" w:space="0" w:color="auto"/>
        <w:left w:val="none" w:sz="0" w:space="0" w:color="auto"/>
        <w:bottom w:val="none" w:sz="0" w:space="0" w:color="auto"/>
        <w:right w:val="none" w:sz="0" w:space="0" w:color="auto"/>
      </w:divBdr>
    </w:div>
    <w:div w:id="620962477">
      <w:bodyDiv w:val="1"/>
      <w:marLeft w:val="0"/>
      <w:marRight w:val="0"/>
      <w:marTop w:val="0"/>
      <w:marBottom w:val="0"/>
      <w:divBdr>
        <w:top w:val="none" w:sz="0" w:space="0" w:color="auto"/>
        <w:left w:val="none" w:sz="0" w:space="0" w:color="auto"/>
        <w:bottom w:val="none" w:sz="0" w:space="0" w:color="auto"/>
        <w:right w:val="none" w:sz="0" w:space="0" w:color="auto"/>
      </w:divBdr>
    </w:div>
    <w:div w:id="632298810">
      <w:bodyDiv w:val="1"/>
      <w:marLeft w:val="0"/>
      <w:marRight w:val="0"/>
      <w:marTop w:val="0"/>
      <w:marBottom w:val="0"/>
      <w:divBdr>
        <w:top w:val="none" w:sz="0" w:space="0" w:color="auto"/>
        <w:left w:val="none" w:sz="0" w:space="0" w:color="auto"/>
        <w:bottom w:val="none" w:sz="0" w:space="0" w:color="auto"/>
        <w:right w:val="none" w:sz="0" w:space="0" w:color="auto"/>
      </w:divBdr>
    </w:div>
    <w:div w:id="651831086">
      <w:bodyDiv w:val="1"/>
      <w:marLeft w:val="0"/>
      <w:marRight w:val="0"/>
      <w:marTop w:val="0"/>
      <w:marBottom w:val="0"/>
      <w:divBdr>
        <w:top w:val="none" w:sz="0" w:space="0" w:color="auto"/>
        <w:left w:val="none" w:sz="0" w:space="0" w:color="auto"/>
        <w:bottom w:val="none" w:sz="0" w:space="0" w:color="auto"/>
        <w:right w:val="none" w:sz="0" w:space="0" w:color="auto"/>
      </w:divBdr>
    </w:div>
    <w:div w:id="657611211">
      <w:bodyDiv w:val="1"/>
      <w:marLeft w:val="0"/>
      <w:marRight w:val="0"/>
      <w:marTop w:val="0"/>
      <w:marBottom w:val="0"/>
      <w:divBdr>
        <w:top w:val="none" w:sz="0" w:space="0" w:color="auto"/>
        <w:left w:val="none" w:sz="0" w:space="0" w:color="auto"/>
        <w:bottom w:val="none" w:sz="0" w:space="0" w:color="auto"/>
        <w:right w:val="none" w:sz="0" w:space="0" w:color="auto"/>
      </w:divBdr>
    </w:div>
    <w:div w:id="851264261">
      <w:bodyDiv w:val="1"/>
      <w:marLeft w:val="0"/>
      <w:marRight w:val="0"/>
      <w:marTop w:val="0"/>
      <w:marBottom w:val="0"/>
      <w:divBdr>
        <w:top w:val="none" w:sz="0" w:space="0" w:color="auto"/>
        <w:left w:val="none" w:sz="0" w:space="0" w:color="auto"/>
        <w:bottom w:val="none" w:sz="0" w:space="0" w:color="auto"/>
        <w:right w:val="none" w:sz="0" w:space="0" w:color="auto"/>
      </w:divBdr>
    </w:div>
    <w:div w:id="886575561">
      <w:bodyDiv w:val="1"/>
      <w:marLeft w:val="0"/>
      <w:marRight w:val="0"/>
      <w:marTop w:val="0"/>
      <w:marBottom w:val="0"/>
      <w:divBdr>
        <w:top w:val="none" w:sz="0" w:space="0" w:color="auto"/>
        <w:left w:val="none" w:sz="0" w:space="0" w:color="auto"/>
        <w:bottom w:val="none" w:sz="0" w:space="0" w:color="auto"/>
        <w:right w:val="none" w:sz="0" w:space="0" w:color="auto"/>
      </w:divBdr>
    </w:div>
    <w:div w:id="900143315">
      <w:bodyDiv w:val="1"/>
      <w:marLeft w:val="0"/>
      <w:marRight w:val="0"/>
      <w:marTop w:val="0"/>
      <w:marBottom w:val="0"/>
      <w:divBdr>
        <w:top w:val="none" w:sz="0" w:space="0" w:color="auto"/>
        <w:left w:val="none" w:sz="0" w:space="0" w:color="auto"/>
        <w:bottom w:val="none" w:sz="0" w:space="0" w:color="auto"/>
        <w:right w:val="none" w:sz="0" w:space="0" w:color="auto"/>
      </w:divBdr>
    </w:div>
    <w:div w:id="918058957">
      <w:bodyDiv w:val="1"/>
      <w:marLeft w:val="0"/>
      <w:marRight w:val="0"/>
      <w:marTop w:val="0"/>
      <w:marBottom w:val="0"/>
      <w:divBdr>
        <w:top w:val="none" w:sz="0" w:space="0" w:color="auto"/>
        <w:left w:val="none" w:sz="0" w:space="0" w:color="auto"/>
        <w:bottom w:val="none" w:sz="0" w:space="0" w:color="auto"/>
        <w:right w:val="none" w:sz="0" w:space="0" w:color="auto"/>
      </w:divBdr>
    </w:div>
    <w:div w:id="934286054">
      <w:bodyDiv w:val="1"/>
      <w:marLeft w:val="0"/>
      <w:marRight w:val="0"/>
      <w:marTop w:val="0"/>
      <w:marBottom w:val="0"/>
      <w:divBdr>
        <w:top w:val="none" w:sz="0" w:space="0" w:color="auto"/>
        <w:left w:val="none" w:sz="0" w:space="0" w:color="auto"/>
        <w:bottom w:val="none" w:sz="0" w:space="0" w:color="auto"/>
        <w:right w:val="none" w:sz="0" w:space="0" w:color="auto"/>
      </w:divBdr>
    </w:div>
    <w:div w:id="1000234332">
      <w:bodyDiv w:val="1"/>
      <w:marLeft w:val="0"/>
      <w:marRight w:val="0"/>
      <w:marTop w:val="0"/>
      <w:marBottom w:val="0"/>
      <w:divBdr>
        <w:top w:val="none" w:sz="0" w:space="0" w:color="auto"/>
        <w:left w:val="none" w:sz="0" w:space="0" w:color="auto"/>
        <w:bottom w:val="none" w:sz="0" w:space="0" w:color="auto"/>
        <w:right w:val="none" w:sz="0" w:space="0" w:color="auto"/>
      </w:divBdr>
    </w:div>
    <w:div w:id="1097361799">
      <w:bodyDiv w:val="1"/>
      <w:marLeft w:val="0"/>
      <w:marRight w:val="0"/>
      <w:marTop w:val="0"/>
      <w:marBottom w:val="0"/>
      <w:divBdr>
        <w:top w:val="none" w:sz="0" w:space="0" w:color="auto"/>
        <w:left w:val="none" w:sz="0" w:space="0" w:color="auto"/>
        <w:bottom w:val="none" w:sz="0" w:space="0" w:color="auto"/>
        <w:right w:val="none" w:sz="0" w:space="0" w:color="auto"/>
      </w:divBdr>
    </w:div>
    <w:div w:id="1098601011">
      <w:bodyDiv w:val="1"/>
      <w:marLeft w:val="0"/>
      <w:marRight w:val="0"/>
      <w:marTop w:val="0"/>
      <w:marBottom w:val="0"/>
      <w:divBdr>
        <w:top w:val="none" w:sz="0" w:space="0" w:color="auto"/>
        <w:left w:val="none" w:sz="0" w:space="0" w:color="auto"/>
        <w:bottom w:val="none" w:sz="0" w:space="0" w:color="auto"/>
        <w:right w:val="none" w:sz="0" w:space="0" w:color="auto"/>
      </w:divBdr>
    </w:div>
    <w:div w:id="1123424033">
      <w:bodyDiv w:val="1"/>
      <w:marLeft w:val="0"/>
      <w:marRight w:val="0"/>
      <w:marTop w:val="0"/>
      <w:marBottom w:val="0"/>
      <w:divBdr>
        <w:top w:val="none" w:sz="0" w:space="0" w:color="auto"/>
        <w:left w:val="none" w:sz="0" w:space="0" w:color="auto"/>
        <w:bottom w:val="none" w:sz="0" w:space="0" w:color="auto"/>
        <w:right w:val="none" w:sz="0" w:space="0" w:color="auto"/>
      </w:divBdr>
    </w:div>
    <w:div w:id="1206599345">
      <w:bodyDiv w:val="1"/>
      <w:marLeft w:val="0"/>
      <w:marRight w:val="0"/>
      <w:marTop w:val="0"/>
      <w:marBottom w:val="0"/>
      <w:divBdr>
        <w:top w:val="none" w:sz="0" w:space="0" w:color="auto"/>
        <w:left w:val="none" w:sz="0" w:space="0" w:color="auto"/>
        <w:bottom w:val="none" w:sz="0" w:space="0" w:color="auto"/>
        <w:right w:val="none" w:sz="0" w:space="0" w:color="auto"/>
      </w:divBdr>
    </w:div>
    <w:div w:id="1222516270">
      <w:bodyDiv w:val="1"/>
      <w:marLeft w:val="0"/>
      <w:marRight w:val="0"/>
      <w:marTop w:val="0"/>
      <w:marBottom w:val="0"/>
      <w:divBdr>
        <w:top w:val="none" w:sz="0" w:space="0" w:color="auto"/>
        <w:left w:val="none" w:sz="0" w:space="0" w:color="auto"/>
        <w:bottom w:val="none" w:sz="0" w:space="0" w:color="auto"/>
        <w:right w:val="none" w:sz="0" w:space="0" w:color="auto"/>
      </w:divBdr>
    </w:div>
    <w:div w:id="1236161179">
      <w:bodyDiv w:val="1"/>
      <w:marLeft w:val="0"/>
      <w:marRight w:val="0"/>
      <w:marTop w:val="0"/>
      <w:marBottom w:val="0"/>
      <w:divBdr>
        <w:top w:val="none" w:sz="0" w:space="0" w:color="auto"/>
        <w:left w:val="none" w:sz="0" w:space="0" w:color="auto"/>
        <w:bottom w:val="none" w:sz="0" w:space="0" w:color="auto"/>
        <w:right w:val="none" w:sz="0" w:space="0" w:color="auto"/>
      </w:divBdr>
    </w:div>
    <w:div w:id="1293975353">
      <w:bodyDiv w:val="1"/>
      <w:marLeft w:val="0"/>
      <w:marRight w:val="0"/>
      <w:marTop w:val="0"/>
      <w:marBottom w:val="0"/>
      <w:divBdr>
        <w:top w:val="none" w:sz="0" w:space="0" w:color="auto"/>
        <w:left w:val="none" w:sz="0" w:space="0" w:color="auto"/>
        <w:bottom w:val="none" w:sz="0" w:space="0" w:color="auto"/>
        <w:right w:val="none" w:sz="0" w:space="0" w:color="auto"/>
      </w:divBdr>
    </w:div>
    <w:div w:id="1297757790">
      <w:bodyDiv w:val="1"/>
      <w:marLeft w:val="0"/>
      <w:marRight w:val="0"/>
      <w:marTop w:val="0"/>
      <w:marBottom w:val="0"/>
      <w:divBdr>
        <w:top w:val="none" w:sz="0" w:space="0" w:color="auto"/>
        <w:left w:val="none" w:sz="0" w:space="0" w:color="auto"/>
        <w:bottom w:val="none" w:sz="0" w:space="0" w:color="auto"/>
        <w:right w:val="none" w:sz="0" w:space="0" w:color="auto"/>
      </w:divBdr>
    </w:div>
    <w:div w:id="1355882418">
      <w:bodyDiv w:val="1"/>
      <w:marLeft w:val="0"/>
      <w:marRight w:val="0"/>
      <w:marTop w:val="0"/>
      <w:marBottom w:val="0"/>
      <w:divBdr>
        <w:top w:val="none" w:sz="0" w:space="0" w:color="auto"/>
        <w:left w:val="none" w:sz="0" w:space="0" w:color="auto"/>
        <w:bottom w:val="none" w:sz="0" w:space="0" w:color="auto"/>
        <w:right w:val="none" w:sz="0" w:space="0" w:color="auto"/>
      </w:divBdr>
    </w:div>
    <w:div w:id="1393961872">
      <w:bodyDiv w:val="1"/>
      <w:marLeft w:val="0"/>
      <w:marRight w:val="0"/>
      <w:marTop w:val="0"/>
      <w:marBottom w:val="0"/>
      <w:divBdr>
        <w:top w:val="none" w:sz="0" w:space="0" w:color="auto"/>
        <w:left w:val="none" w:sz="0" w:space="0" w:color="auto"/>
        <w:bottom w:val="none" w:sz="0" w:space="0" w:color="auto"/>
        <w:right w:val="none" w:sz="0" w:space="0" w:color="auto"/>
      </w:divBdr>
    </w:div>
    <w:div w:id="1408725505">
      <w:bodyDiv w:val="1"/>
      <w:marLeft w:val="0"/>
      <w:marRight w:val="0"/>
      <w:marTop w:val="0"/>
      <w:marBottom w:val="0"/>
      <w:divBdr>
        <w:top w:val="none" w:sz="0" w:space="0" w:color="auto"/>
        <w:left w:val="none" w:sz="0" w:space="0" w:color="auto"/>
        <w:bottom w:val="none" w:sz="0" w:space="0" w:color="auto"/>
        <w:right w:val="none" w:sz="0" w:space="0" w:color="auto"/>
      </w:divBdr>
    </w:div>
    <w:div w:id="1448962776">
      <w:bodyDiv w:val="1"/>
      <w:marLeft w:val="0"/>
      <w:marRight w:val="0"/>
      <w:marTop w:val="0"/>
      <w:marBottom w:val="0"/>
      <w:divBdr>
        <w:top w:val="none" w:sz="0" w:space="0" w:color="auto"/>
        <w:left w:val="none" w:sz="0" w:space="0" w:color="auto"/>
        <w:bottom w:val="none" w:sz="0" w:space="0" w:color="auto"/>
        <w:right w:val="none" w:sz="0" w:space="0" w:color="auto"/>
      </w:divBdr>
    </w:div>
    <w:div w:id="1508716500">
      <w:bodyDiv w:val="1"/>
      <w:marLeft w:val="0"/>
      <w:marRight w:val="0"/>
      <w:marTop w:val="0"/>
      <w:marBottom w:val="0"/>
      <w:divBdr>
        <w:top w:val="none" w:sz="0" w:space="0" w:color="auto"/>
        <w:left w:val="none" w:sz="0" w:space="0" w:color="auto"/>
        <w:bottom w:val="none" w:sz="0" w:space="0" w:color="auto"/>
        <w:right w:val="none" w:sz="0" w:space="0" w:color="auto"/>
      </w:divBdr>
    </w:div>
    <w:div w:id="1598636157">
      <w:bodyDiv w:val="1"/>
      <w:marLeft w:val="0"/>
      <w:marRight w:val="0"/>
      <w:marTop w:val="0"/>
      <w:marBottom w:val="0"/>
      <w:divBdr>
        <w:top w:val="none" w:sz="0" w:space="0" w:color="auto"/>
        <w:left w:val="none" w:sz="0" w:space="0" w:color="auto"/>
        <w:bottom w:val="none" w:sz="0" w:space="0" w:color="auto"/>
        <w:right w:val="none" w:sz="0" w:space="0" w:color="auto"/>
      </w:divBdr>
    </w:div>
    <w:div w:id="1600486109">
      <w:bodyDiv w:val="1"/>
      <w:marLeft w:val="0"/>
      <w:marRight w:val="0"/>
      <w:marTop w:val="0"/>
      <w:marBottom w:val="0"/>
      <w:divBdr>
        <w:top w:val="none" w:sz="0" w:space="0" w:color="auto"/>
        <w:left w:val="none" w:sz="0" w:space="0" w:color="auto"/>
        <w:bottom w:val="none" w:sz="0" w:space="0" w:color="auto"/>
        <w:right w:val="none" w:sz="0" w:space="0" w:color="auto"/>
      </w:divBdr>
    </w:div>
    <w:div w:id="1612861964">
      <w:bodyDiv w:val="1"/>
      <w:marLeft w:val="0"/>
      <w:marRight w:val="0"/>
      <w:marTop w:val="0"/>
      <w:marBottom w:val="0"/>
      <w:divBdr>
        <w:top w:val="none" w:sz="0" w:space="0" w:color="auto"/>
        <w:left w:val="none" w:sz="0" w:space="0" w:color="auto"/>
        <w:bottom w:val="none" w:sz="0" w:space="0" w:color="auto"/>
        <w:right w:val="none" w:sz="0" w:space="0" w:color="auto"/>
      </w:divBdr>
    </w:div>
    <w:div w:id="1621645339">
      <w:bodyDiv w:val="1"/>
      <w:marLeft w:val="0"/>
      <w:marRight w:val="0"/>
      <w:marTop w:val="0"/>
      <w:marBottom w:val="0"/>
      <w:divBdr>
        <w:top w:val="none" w:sz="0" w:space="0" w:color="auto"/>
        <w:left w:val="none" w:sz="0" w:space="0" w:color="auto"/>
        <w:bottom w:val="none" w:sz="0" w:space="0" w:color="auto"/>
        <w:right w:val="none" w:sz="0" w:space="0" w:color="auto"/>
      </w:divBdr>
    </w:div>
    <w:div w:id="1636596101">
      <w:bodyDiv w:val="1"/>
      <w:marLeft w:val="0"/>
      <w:marRight w:val="0"/>
      <w:marTop w:val="0"/>
      <w:marBottom w:val="0"/>
      <w:divBdr>
        <w:top w:val="none" w:sz="0" w:space="0" w:color="auto"/>
        <w:left w:val="none" w:sz="0" w:space="0" w:color="auto"/>
        <w:bottom w:val="none" w:sz="0" w:space="0" w:color="auto"/>
        <w:right w:val="none" w:sz="0" w:space="0" w:color="auto"/>
      </w:divBdr>
    </w:div>
    <w:div w:id="1673142713">
      <w:bodyDiv w:val="1"/>
      <w:marLeft w:val="0"/>
      <w:marRight w:val="0"/>
      <w:marTop w:val="0"/>
      <w:marBottom w:val="0"/>
      <w:divBdr>
        <w:top w:val="none" w:sz="0" w:space="0" w:color="auto"/>
        <w:left w:val="none" w:sz="0" w:space="0" w:color="auto"/>
        <w:bottom w:val="none" w:sz="0" w:space="0" w:color="auto"/>
        <w:right w:val="none" w:sz="0" w:space="0" w:color="auto"/>
      </w:divBdr>
    </w:div>
    <w:div w:id="1713311106">
      <w:bodyDiv w:val="1"/>
      <w:marLeft w:val="0"/>
      <w:marRight w:val="0"/>
      <w:marTop w:val="0"/>
      <w:marBottom w:val="0"/>
      <w:divBdr>
        <w:top w:val="none" w:sz="0" w:space="0" w:color="auto"/>
        <w:left w:val="none" w:sz="0" w:space="0" w:color="auto"/>
        <w:bottom w:val="none" w:sz="0" w:space="0" w:color="auto"/>
        <w:right w:val="none" w:sz="0" w:space="0" w:color="auto"/>
      </w:divBdr>
    </w:div>
    <w:div w:id="1731613853">
      <w:bodyDiv w:val="1"/>
      <w:marLeft w:val="0"/>
      <w:marRight w:val="0"/>
      <w:marTop w:val="0"/>
      <w:marBottom w:val="0"/>
      <w:divBdr>
        <w:top w:val="none" w:sz="0" w:space="0" w:color="auto"/>
        <w:left w:val="none" w:sz="0" w:space="0" w:color="auto"/>
        <w:bottom w:val="none" w:sz="0" w:space="0" w:color="auto"/>
        <w:right w:val="none" w:sz="0" w:space="0" w:color="auto"/>
      </w:divBdr>
    </w:div>
    <w:div w:id="1785463099">
      <w:bodyDiv w:val="1"/>
      <w:marLeft w:val="0"/>
      <w:marRight w:val="0"/>
      <w:marTop w:val="0"/>
      <w:marBottom w:val="0"/>
      <w:divBdr>
        <w:top w:val="none" w:sz="0" w:space="0" w:color="auto"/>
        <w:left w:val="none" w:sz="0" w:space="0" w:color="auto"/>
        <w:bottom w:val="none" w:sz="0" w:space="0" w:color="auto"/>
        <w:right w:val="none" w:sz="0" w:space="0" w:color="auto"/>
      </w:divBdr>
    </w:div>
    <w:div w:id="1833450365">
      <w:bodyDiv w:val="1"/>
      <w:marLeft w:val="0"/>
      <w:marRight w:val="0"/>
      <w:marTop w:val="0"/>
      <w:marBottom w:val="0"/>
      <w:divBdr>
        <w:top w:val="none" w:sz="0" w:space="0" w:color="auto"/>
        <w:left w:val="none" w:sz="0" w:space="0" w:color="auto"/>
        <w:bottom w:val="none" w:sz="0" w:space="0" w:color="auto"/>
        <w:right w:val="none" w:sz="0" w:space="0" w:color="auto"/>
      </w:divBdr>
    </w:div>
    <w:div w:id="1837526580">
      <w:bodyDiv w:val="1"/>
      <w:marLeft w:val="0"/>
      <w:marRight w:val="0"/>
      <w:marTop w:val="0"/>
      <w:marBottom w:val="0"/>
      <w:divBdr>
        <w:top w:val="none" w:sz="0" w:space="0" w:color="auto"/>
        <w:left w:val="none" w:sz="0" w:space="0" w:color="auto"/>
        <w:bottom w:val="none" w:sz="0" w:space="0" w:color="auto"/>
        <w:right w:val="none" w:sz="0" w:space="0" w:color="auto"/>
      </w:divBdr>
    </w:div>
    <w:div w:id="1856383120">
      <w:bodyDiv w:val="1"/>
      <w:marLeft w:val="0"/>
      <w:marRight w:val="0"/>
      <w:marTop w:val="0"/>
      <w:marBottom w:val="0"/>
      <w:divBdr>
        <w:top w:val="none" w:sz="0" w:space="0" w:color="auto"/>
        <w:left w:val="none" w:sz="0" w:space="0" w:color="auto"/>
        <w:bottom w:val="none" w:sz="0" w:space="0" w:color="auto"/>
        <w:right w:val="none" w:sz="0" w:space="0" w:color="auto"/>
      </w:divBdr>
    </w:div>
    <w:div w:id="1865744876">
      <w:bodyDiv w:val="1"/>
      <w:marLeft w:val="0"/>
      <w:marRight w:val="0"/>
      <w:marTop w:val="0"/>
      <w:marBottom w:val="0"/>
      <w:divBdr>
        <w:top w:val="none" w:sz="0" w:space="0" w:color="auto"/>
        <w:left w:val="none" w:sz="0" w:space="0" w:color="auto"/>
        <w:bottom w:val="none" w:sz="0" w:space="0" w:color="auto"/>
        <w:right w:val="none" w:sz="0" w:space="0" w:color="auto"/>
      </w:divBdr>
    </w:div>
    <w:div w:id="1894076392">
      <w:bodyDiv w:val="1"/>
      <w:marLeft w:val="0"/>
      <w:marRight w:val="0"/>
      <w:marTop w:val="0"/>
      <w:marBottom w:val="0"/>
      <w:divBdr>
        <w:top w:val="none" w:sz="0" w:space="0" w:color="auto"/>
        <w:left w:val="none" w:sz="0" w:space="0" w:color="auto"/>
        <w:bottom w:val="none" w:sz="0" w:space="0" w:color="auto"/>
        <w:right w:val="none" w:sz="0" w:space="0" w:color="auto"/>
      </w:divBdr>
    </w:div>
    <w:div w:id="1896621151">
      <w:bodyDiv w:val="1"/>
      <w:marLeft w:val="0"/>
      <w:marRight w:val="0"/>
      <w:marTop w:val="0"/>
      <w:marBottom w:val="0"/>
      <w:divBdr>
        <w:top w:val="none" w:sz="0" w:space="0" w:color="auto"/>
        <w:left w:val="none" w:sz="0" w:space="0" w:color="auto"/>
        <w:bottom w:val="none" w:sz="0" w:space="0" w:color="auto"/>
        <w:right w:val="none" w:sz="0" w:space="0" w:color="auto"/>
      </w:divBdr>
    </w:div>
    <w:div w:id="1898516111">
      <w:bodyDiv w:val="1"/>
      <w:marLeft w:val="0"/>
      <w:marRight w:val="0"/>
      <w:marTop w:val="0"/>
      <w:marBottom w:val="0"/>
      <w:divBdr>
        <w:top w:val="none" w:sz="0" w:space="0" w:color="auto"/>
        <w:left w:val="none" w:sz="0" w:space="0" w:color="auto"/>
        <w:bottom w:val="none" w:sz="0" w:space="0" w:color="auto"/>
        <w:right w:val="none" w:sz="0" w:space="0" w:color="auto"/>
      </w:divBdr>
    </w:div>
    <w:div w:id="1934241813">
      <w:bodyDiv w:val="1"/>
      <w:marLeft w:val="0"/>
      <w:marRight w:val="0"/>
      <w:marTop w:val="0"/>
      <w:marBottom w:val="0"/>
      <w:divBdr>
        <w:top w:val="none" w:sz="0" w:space="0" w:color="auto"/>
        <w:left w:val="none" w:sz="0" w:space="0" w:color="auto"/>
        <w:bottom w:val="none" w:sz="0" w:space="0" w:color="auto"/>
        <w:right w:val="none" w:sz="0" w:space="0" w:color="auto"/>
      </w:divBdr>
    </w:div>
    <w:div w:id="1937008885">
      <w:bodyDiv w:val="1"/>
      <w:marLeft w:val="0"/>
      <w:marRight w:val="0"/>
      <w:marTop w:val="0"/>
      <w:marBottom w:val="0"/>
      <w:divBdr>
        <w:top w:val="none" w:sz="0" w:space="0" w:color="auto"/>
        <w:left w:val="none" w:sz="0" w:space="0" w:color="auto"/>
        <w:bottom w:val="none" w:sz="0" w:space="0" w:color="auto"/>
        <w:right w:val="none" w:sz="0" w:space="0" w:color="auto"/>
      </w:divBdr>
    </w:div>
    <w:div w:id="1963262058">
      <w:bodyDiv w:val="1"/>
      <w:marLeft w:val="0"/>
      <w:marRight w:val="0"/>
      <w:marTop w:val="0"/>
      <w:marBottom w:val="0"/>
      <w:divBdr>
        <w:top w:val="none" w:sz="0" w:space="0" w:color="auto"/>
        <w:left w:val="none" w:sz="0" w:space="0" w:color="auto"/>
        <w:bottom w:val="none" w:sz="0" w:space="0" w:color="auto"/>
        <w:right w:val="none" w:sz="0" w:space="0" w:color="auto"/>
      </w:divBdr>
    </w:div>
    <w:div w:id="1971202595">
      <w:bodyDiv w:val="1"/>
      <w:marLeft w:val="0"/>
      <w:marRight w:val="0"/>
      <w:marTop w:val="0"/>
      <w:marBottom w:val="0"/>
      <w:divBdr>
        <w:top w:val="none" w:sz="0" w:space="0" w:color="auto"/>
        <w:left w:val="none" w:sz="0" w:space="0" w:color="auto"/>
        <w:bottom w:val="none" w:sz="0" w:space="0" w:color="auto"/>
        <w:right w:val="none" w:sz="0" w:space="0" w:color="auto"/>
      </w:divBdr>
    </w:div>
    <w:div w:id="1979726074">
      <w:bodyDiv w:val="1"/>
      <w:marLeft w:val="0"/>
      <w:marRight w:val="0"/>
      <w:marTop w:val="0"/>
      <w:marBottom w:val="0"/>
      <w:divBdr>
        <w:top w:val="none" w:sz="0" w:space="0" w:color="auto"/>
        <w:left w:val="none" w:sz="0" w:space="0" w:color="auto"/>
        <w:bottom w:val="none" w:sz="0" w:space="0" w:color="auto"/>
        <w:right w:val="none" w:sz="0" w:space="0" w:color="auto"/>
      </w:divBdr>
    </w:div>
    <w:div w:id="1991399500">
      <w:bodyDiv w:val="1"/>
      <w:marLeft w:val="0"/>
      <w:marRight w:val="0"/>
      <w:marTop w:val="0"/>
      <w:marBottom w:val="0"/>
      <w:divBdr>
        <w:top w:val="none" w:sz="0" w:space="0" w:color="auto"/>
        <w:left w:val="none" w:sz="0" w:space="0" w:color="auto"/>
        <w:bottom w:val="none" w:sz="0" w:space="0" w:color="auto"/>
        <w:right w:val="none" w:sz="0" w:space="0" w:color="auto"/>
      </w:divBdr>
    </w:div>
    <w:div w:id="1995794146">
      <w:bodyDiv w:val="1"/>
      <w:marLeft w:val="0"/>
      <w:marRight w:val="0"/>
      <w:marTop w:val="0"/>
      <w:marBottom w:val="0"/>
      <w:divBdr>
        <w:top w:val="none" w:sz="0" w:space="0" w:color="auto"/>
        <w:left w:val="none" w:sz="0" w:space="0" w:color="auto"/>
        <w:bottom w:val="none" w:sz="0" w:space="0" w:color="auto"/>
        <w:right w:val="none" w:sz="0" w:space="0" w:color="auto"/>
      </w:divBdr>
    </w:div>
    <w:div w:id="2084640591">
      <w:bodyDiv w:val="1"/>
      <w:marLeft w:val="0"/>
      <w:marRight w:val="0"/>
      <w:marTop w:val="0"/>
      <w:marBottom w:val="0"/>
      <w:divBdr>
        <w:top w:val="none" w:sz="0" w:space="0" w:color="auto"/>
        <w:left w:val="none" w:sz="0" w:space="0" w:color="auto"/>
        <w:bottom w:val="none" w:sz="0" w:space="0" w:color="auto"/>
        <w:right w:val="none" w:sz="0" w:space="0" w:color="auto"/>
      </w:divBdr>
    </w:div>
    <w:div w:id="2088070770">
      <w:bodyDiv w:val="1"/>
      <w:marLeft w:val="0"/>
      <w:marRight w:val="0"/>
      <w:marTop w:val="0"/>
      <w:marBottom w:val="0"/>
      <w:divBdr>
        <w:top w:val="none" w:sz="0" w:space="0" w:color="auto"/>
        <w:left w:val="none" w:sz="0" w:space="0" w:color="auto"/>
        <w:bottom w:val="none" w:sz="0" w:space="0" w:color="auto"/>
        <w:right w:val="none" w:sz="0" w:space="0" w:color="auto"/>
      </w:divBdr>
    </w:div>
    <w:div w:id="2106723247">
      <w:bodyDiv w:val="1"/>
      <w:marLeft w:val="0"/>
      <w:marRight w:val="0"/>
      <w:marTop w:val="0"/>
      <w:marBottom w:val="0"/>
      <w:divBdr>
        <w:top w:val="none" w:sz="0" w:space="0" w:color="auto"/>
        <w:left w:val="none" w:sz="0" w:space="0" w:color="auto"/>
        <w:bottom w:val="none" w:sz="0" w:space="0" w:color="auto"/>
        <w:right w:val="none" w:sz="0" w:space="0" w:color="auto"/>
      </w:divBdr>
    </w:div>
    <w:div w:id="21387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Trend of GDP growth rate, oil rent and underground economy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982792044611451E-2"/>
          <c:y val="0.135882604692181"/>
          <c:w val="0.87673359978938803"/>
          <c:h val="0.70627303925837137"/>
        </c:manualLayout>
      </c:layout>
      <c:lineChart>
        <c:grouping val="standard"/>
        <c:varyColors val="0"/>
        <c:ser>
          <c:idx val="0"/>
          <c:order val="0"/>
          <c:tx>
            <c:strRef>
              <c:f>Sheet1!$B$1</c:f>
              <c:strCache>
                <c:ptCount val="1"/>
                <c:pt idx="0">
                  <c:v>Real GDP growth rate</c:v>
                </c:pt>
              </c:strCache>
            </c:strRef>
          </c:tx>
          <c:spPr>
            <a:ln w="28575" cap="rnd">
              <a:solidFill>
                <a:schemeClr val="accent1"/>
              </a:solidFill>
              <a:round/>
            </a:ln>
            <a:effectLst/>
          </c:spPr>
          <c:marker>
            <c:symbol val="none"/>
          </c:marker>
          <c:cat>
            <c:numRef>
              <c:f>Sheet1!$A$22:$A$55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extLst/>
            </c:numRef>
          </c:cat>
          <c:val>
            <c:numRef>
              <c:f>Sheet1!$B$22:$B$55</c:f>
              <c:numCache>
                <c:formatCode>General</c:formatCode>
                <c:ptCount val="34"/>
                <c:pt idx="0">
                  <c:v>11.776885934206945</c:v>
                </c:pt>
                <c:pt idx="1">
                  <c:v>0.35835260166014393</c:v>
                </c:pt>
                <c:pt idx="2">
                  <c:v>4.6311929460769221</c:v>
                </c:pt>
                <c:pt idx="3">
                  <c:v>-2.035118773991357</c:v>
                </c:pt>
                <c:pt idx="4">
                  <c:v>-1.814924485256725</c:v>
                </c:pt>
                <c:pt idx="5">
                  <c:v>-7.2664763937879684E-2</c:v>
                </c:pt>
                <c:pt idx="6">
                  <c:v>4.1959240466010783</c:v>
                </c:pt>
                <c:pt idx="7">
                  <c:v>2.9370994192489945</c:v>
                </c:pt>
                <c:pt idx="8">
                  <c:v>2.5812541019293462</c:v>
                </c:pt>
                <c:pt idx="9">
                  <c:v>0.58412689291891695</c:v>
                </c:pt>
                <c:pt idx="10">
                  <c:v>5.0159347593115911</c:v>
                </c:pt>
                <c:pt idx="11">
                  <c:v>5.9176846492036788</c:v>
                </c:pt>
                <c:pt idx="12">
                  <c:v>15.32915574095594</c:v>
                </c:pt>
                <c:pt idx="13">
                  <c:v>7.3471949679948523</c:v>
                </c:pt>
                <c:pt idx="14">
                  <c:v>9.25055822917993</c:v>
                </c:pt>
                <c:pt idx="15">
                  <c:v>6.4385165253831929</c:v>
                </c:pt>
                <c:pt idx="16">
                  <c:v>6.0594280320291176</c:v>
                </c:pt>
                <c:pt idx="17">
                  <c:v>6.5911303606873446</c:v>
                </c:pt>
                <c:pt idx="18">
                  <c:v>6.7644727778017</c:v>
                </c:pt>
                <c:pt idx="19">
                  <c:v>8.0369251009906719</c:v>
                </c:pt>
                <c:pt idx="20">
                  <c:v>8.0056559162864573</c:v>
                </c:pt>
                <c:pt idx="21">
                  <c:v>5.3079242028951228</c:v>
                </c:pt>
                <c:pt idx="22">
                  <c:v>4.2300611749316772</c:v>
                </c:pt>
                <c:pt idx="23">
                  <c:v>6.6713353930617245</c:v>
                </c:pt>
                <c:pt idx="24">
                  <c:v>6.3097186552546702</c:v>
                </c:pt>
                <c:pt idx="25">
                  <c:v>2.6526932954300264</c:v>
                </c:pt>
                <c:pt idx="26">
                  <c:v>-1.6168689490652923</c:v>
                </c:pt>
                <c:pt idx="27">
                  <c:v>0.80588661910221049</c:v>
                </c:pt>
                <c:pt idx="28">
                  <c:v>1.9227573420065056</c:v>
                </c:pt>
                <c:pt idx="29">
                  <c:v>2.2084292771488094</c:v>
                </c:pt>
                <c:pt idx="30">
                  <c:v>-1.7942530827445751</c:v>
                </c:pt>
                <c:pt idx="31">
                  <c:v>3.6471865407244621</c:v>
                </c:pt>
                <c:pt idx="32">
                  <c:v>3.251681408270926</c:v>
                </c:pt>
                <c:pt idx="33">
                  <c:v>2.8602149910836374</c:v>
                </c:pt>
              </c:numCache>
              <c:extLst/>
            </c:numRef>
          </c:val>
          <c:smooth val="0"/>
          <c:extLst>
            <c:ext xmlns:c16="http://schemas.microsoft.com/office/drawing/2014/chart" uri="{C3380CC4-5D6E-409C-BE32-E72D297353CC}">
              <c16:uniqueId val="{00000000-38F3-44F5-89FA-8DC76E7DBA92}"/>
            </c:ext>
          </c:extLst>
        </c:ser>
        <c:ser>
          <c:idx val="2"/>
          <c:order val="2"/>
          <c:tx>
            <c:strRef>
              <c:f>Sheet1!$D$1</c:f>
              <c:strCache>
                <c:ptCount val="1"/>
                <c:pt idx="0">
                  <c:v>Oil rent (%GDP)</c:v>
                </c:pt>
              </c:strCache>
            </c:strRef>
          </c:tx>
          <c:spPr>
            <a:ln w="28575" cap="rnd">
              <a:solidFill>
                <a:schemeClr val="accent3"/>
              </a:solidFill>
              <a:round/>
            </a:ln>
            <a:effectLst/>
          </c:spPr>
          <c:marker>
            <c:symbol val="none"/>
          </c:marker>
          <c:cat>
            <c:numRef>
              <c:f>Sheet1!$A$22:$A$55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extLst/>
            </c:numRef>
          </c:cat>
          <c:val>
            <c:numRef>
              <c:f>Sheet1!$D$22:$D$55</c:f>
              <c:numCache>
                <c:formatCode>General</c:formatCode>
                <c:ptCount val="34"/>
                <c:pt idx="0">
                  <c:v>21.9637183323591</c:v>
                </c:pt>
                <c:pt idx="1">
                  <c:v>14.3917349452664</c:v>
                </c:pt>
                <c:pt idx="2">
                  <c:v>17.383847786620201</c:v>
                </c:pt>
                <c:pt idx="3">
                  <c:v>28.705439382403899</c:v>
                </c:pt>
                <c:pt idx="4">
                  <c:v>18.699048653112399</c:v>
                </c:pt>
                <c:pt idx="5">
                  <c:v>16.2953221371822</c:v>
                </c:pt>
                <c:pt idx="6">
                  <c:v>16.7094356163404</c:v>
                </c:pt>
                <c:pt idx="7">
                  <c:v>14.538489437452</c:v>
                </c:pt>
                <c:pt idx="8">
                  <c:v>7.0975965279272604</c:v>
                </c:pt>
                <c:pt idx="9">
                  <c:v>10.109417791918499</c:v>
                </c:pt>
                <c:pt idx="10">
                  <c:v>22.049927552403702</c:v>
                </c:pt>
                <c:pt idx="11">
                  <c:v>15.2354705757222</c:v>
                </c:pt>
                <c:pt idx="12">
                  <c:v>11.1446404443733</c:v>
                </c:pt>
                <c:pt idx="13">
                  <c:v>12.1202192108891</c:v>
                </c:pt>
                <c:pt idx="14">
                  <c:v>14.418348125340801</c:v>
                </c:pt>
                <c:pt idx="15">
                  <c:v>17.695803965511999</c:v>
                </c:pt>
                <c:pt idx="16">
                  <c:v>14.880376318821799</c:v>
                </c:pt>
                <c:pt idx="17">
                  <c:v>13.834365122842399</c:v>
                </c:pt>
                <c:pt idx="18">
                  <c:v>15.529944090028</c:v>
                </c:pt>
                <c:pt idx="19">
                  <c:v>8.6739881885811805</c:v>
                </c:pt>
                <c:pt idx="20">
                  <c:v>12.0986066267503</c:v>
                </c:pt>
                <c:pt idx="21">
                  <c:v>15.5113433318503</c:v>
                </c:pt>
                <c:pt idx="22">
                  <c:v>13.090472713459601</c:v>
                </c:pt>
                <c:pt idx="23">
                  <c:v>9.8801149966783601</c:v>
                </c:pt>
                <c:pt idx="24">
                  <c:v>7.0738580847829002</c:v>
                </c:pt>
                <c:pt idx="25">
                  <c:v>2.7834515064340799</c:v>
                </c:pt>
                <c:pt idx="26">
                  <c:v>2.6842904348844501</c:v>
                </c:pt>
                <c:pt idx="27">
                  <c:v>5.4726288230173399</c:v>
                </c:pt>
                <c:pt idx="28">
                  <c:v>7.6906815346560302</c:v>
                </c:pt>
                <c:pt idx="29">
                  <c:v>6.51475056054778</c:v>
                </c:pt>
                <c:pt idx="30">
                  <c:v>3.3124171921251602</c:v>
                </c:pt>
                <c:pt idx="31">
                  <c:v>6.2467496900501303</c:v>
                </c:pt>
              </c:numCache>
              <c:extLst/>
            </c:numRef>
          </c:val>
          <c:smooth val="0"/>
          <c:extLst>
            <c:ext xmlns:c16="http://schemas.microsoft.com/office/drawing/2014/chart" uri="{C3380CC4-5D6E-409C-BE32-E72D297353CC}">
              <c16:uniqueId val="{00000001-38F3-44F5-89FA-8DC76E7DBA92}"/>
            </c:ext>
          </c:extLst>
        </c:ser>
        <c:ser>
          <c:idx val="3"/>
          <c:order val="3"/>
          <c:tx>
            <c:strRef>
              <c:f>Sheet1!$F$1</c:f>
              <c:strCache>
                <c:ptCount val="1"/>
                <c:pt idx="0">
                  <c:v>Underground economy (% GDP)</c:v>
                </c:pt>
              </c:strCache>
            </c:strRef>
          </c:tx>
          <c:spPr>
            <a:ln w="28575" cap="rnd">
              <a:solidFill>
                <a:schemeClr val="accent4"/>
              </a:solidFill>
              <a:round/>
            </a:ln>
            <a:effectLst/>
          </c:spPr>
          <c:marker>
            <c:symbol val="none"/>
          </c:marker>
          <c:cat>
            <c:numRef>
              <c:f>Sheet1!$A$22:$A$55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extLst/>
            </c:numRef>
          </c:cat>
          <c:val>
            <c:numRef>
              <c:f>Sheet1!$F$22:$F$55</c:f>
              <c:numCache>
                <c:formatCode>General</c:formatCode>
                <c:ptCount val="34"/>
                <c:pt idx="1">
                  <c:v>60.2</c:v>
                </c:pt>
                <c:pt idx="2">
                  <c:v>60.7</c:v>
                </c:pt>
                <c:pt idx="3">
                  <c:v>62.9</c:v>
                </c:pt>
                <c:pt idx="4">
                  <c:v>64</c:v>
                </c:pt>
                <c:pt idx="5">
                  <c:v>60.4</c:v>
                </c:pt>
                <c:pt idx="6">
                  <c:v>59.9</c:v>
                </c:pt>
                <c:pt idx="7">
                  <c:v>57.8</c:v>
                </c:pt>
                <c:pt idx="8">
                  <c:v>60.4</c:v>
                </c:pt>
                <c:pt idx="9">
                  <c:v>60.8</c:v>
                </c:pt>
                <c:pt idx="10">
                  <c:v>57.9</c:v>
                </c:pt>
                <c:pt idx="11">
                  <c:v>58.2</c:v>
                </c:pt>
                <c:pt idx="12">
                  <c:v>59.6</c:v>
                </c:pt>
                <c:pt idx="13">
                  <c:v>57.6</c:v>
                </c:pt>
                <c:pt idx="14">
                  <c:v>61.4</c:v>
                </c:pt>
                <c:pt idx="15">
                  <c:v>59.1</c:v>
                </c:pt>
                <c:pt idx="16">
                  <c:v>54.2</c:v>
                </c:pt>
                <c:pt idx="17">
                  <c:v>56.3</c:v>
                </c:pt>
                <c:pt idx="18">
                  <c:v>53.8</c:v>
                </c:pt>
                <c:pt idx="19">
                  <c:v>56.7</c:v>
                </c:pt>
                <c:pt idx="20">
                  <c:v>53.2</c:v>
                </c:pt>
                <c:pt idx="21">
                  <c:v>50.2</c:v>
                </c:pt>
                <c:pt idx="22">
                  <c:v>49.9</c:v>
                </c:pt>
                <c:pt idx="23">
                  <c:v>49.7</c:v>
                </c:pt>
                <c:pt idx="24">
                  <c:v>47.6</c:v>
                </c:pt>
                <c:pt idx="25">
                  <c:v>51.8</c:v>
                </c:pt>
                <c:pt idx="26">
                  <c:v>54.9</c:v>
                </c:pt>
                <c:pt idx="27">
                  <c:v>53.8</c:v>
                </c:pt>
              </c:numCache>
              <c:extLst/>
            </c:numRef>
          </c:val>
          <c:smooth val="0"/>
          <c:extLst>
            <c:ext xmlns:c16="http://schemas.microsoft.com/office/drawing/2014/chart" uri="{C3380CC4-5D6E-409C-BE32-E72D297353CC}">
              <c16:uniqueId val="{00000002-38F3-44F5-89FA-8DC76E7DBA92}"/>
            </c:ext>
          </c:extLst>
        </c:ser>
        <c:dLbls>
          <c:showLegendKey val="0"/>
          <c:showVal val="0"/>
          <c:showCatName val="0"/>
          <c:showSerName val="0"/>
          <c:showPercent val="0"/>
          <c:showBubbleSize val="0"/>
        </c:dLbls>
        <c:marker val="1"/>
        <c:smooth val="0"/>
        <c:axId val="1492234511"/>
        <c:axId val="1492237839"/>
      </c:lineChart>
      <c:lineChart>
        <c:grouping val="standard"/>
        <c:varyColors val="0"/>
        <c:ser>
          <c:idx val="4"/>
          <c:order val="4"/>
          <c:tx>
            <c:strRef>
              <c:f>Sheet1!$H$1</c:f>
              <c:strCache>
                <c:ptCount val="1"/>
                <c:pt idx="0">
                  <c:v>Oil rent (US$' billon)</c:v>
                </c:pt>
              </c:strCache>
            </c:strRef>
          </c:tx>
          <c:spPr>
            <a:ln w="28575" cap="rnd">
              <a:solidFill>
                <a:schemeClr val="accent5"/>
              </a:solidFill>
              <a:round/>
            </a:ln>
            <a:effectLst/>
          </c:spPr>
          <c:marker>
            <c:symbol val="none"/>
          </c:marker>
          <c:cat>
            <c:numRef>
              <c:f>Sheet1!$A$22:$A$55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extLst/>
            </c:numRef>
          </c:cat>
          <c:val>
            <c:numRef>
              <c:f>Sheet1!$H$22:$H$55</c:f>
              <c:numCache>
                <c:formatCode>General</c:formatCode>
                <c:ptCount val="34"/>
                <c:pt idx="0">
                  <c:v>11.868269897628172</c:v>
                </c:pt>
                <c:pt idx="1">
                  <c:v>8.5669440860168606</c:v>
                </c:pt>
                <c:pt idx="2">
                  <c:v>9.0497150939474817</c:v>
                </c:pt>
                <c:pt idx="3">
                  <c:v>16.282027027399096</c:v>
                </c:pt>
                <c:pt idx="4">
                  <c:v>15.033962763683478</c:v>
                </c:pt>
                <c:pt idx="5">
                  <c:v>22.963331614926705</c:v>
                </c:pt>
                <c:pt idx="6">
                  <c:v>31.034474321463129</c:v>
                </c:pt>
                <c:pt idx="7">
                  <c:v>29.200613842799708</c:v>
                </c:pt>
                <c:pt idx="8">
                  <c:v>15.502300675378129</c:v>
                </c:pt>
                <c:pt idx="9">
                  <c:v>5.9792229412390956</c:v>
                </c:pt>
                <c:pt idx="10">
                  <c:v>15.252254970753816</c:v>
                </c:pt>
                <c:pt idx="11">
                  <c:v>11.206883079162024</c:v>
                </c:pt>
                <c:pt idx="12">
                  <c:v>10.593433137067224</c:v>
                </c:pt>
                <c:pt idx="13">
                  <c:v>12.694590856017031</c:v>
                </c:pt>
                <c:pt idx="14">
                  <c:v>19.575031640098985</c:v>
                </c:pt>
                <c:pt idx="15">
                  <c:v>31.086319686872994</c:v>
                </c:pt>
                <c:pt idx="16">
                  <c:v>35.48300092866404</c:v>
                </c:pt>
                <c:pt idx="17">
                  <c:v>38.49562154023937</c:v>
                </c:pt>
                <c:pt idx="18">
                  <c:v>52.720475901744237</c:v>
                </c:pt>
                <c:pt idx="19">
                  <c:v>25.589031536218542</c:v>
                </c:pt>
                <c:pt idx="20">
                  <c:v>44.400726926312551</c:v>
                </c:pt>
                <c:pt idx="21">
                  <c:v>64.289349239391612</c:v>
                </c:pt>
                <c:pt idx="22">
                  <c:v>60.73599954097368</c:v>
                </c:pt>
                <c:pt idx="23">
                  <c:v>51.388175532494856</c:v>
                </c:pt>
                <c:pt idx="24">
                  <c:v>40.616944569595645</c:v>
                </c:pt>
                <c:pt idx="25">
                  <c:v>13.723158629536096</c:v>
                </c:pt>
                <c:pt idx="26">
                  <c:v>10.861957763987316</c:v>
                </c:pt>
                <c:pt idx="27">
                  <c:v>20.563169178887051</c:v>
                </c:pt>
                <c:pt idx="28">
                  <c:v>32.434622740205334</c:v>
                </c:pt>
                <c:pt idx="29">
                  <c:v>30.913630894686783</c:v>
                </c:pt>
                <c:pt idx="30">
                  <c:v>14.316230617022802</c:v>
                </c:pt>
                <c:pt idx="31">
                  <c:v>27.538108378153865</c:v>
                </c:pt>
              </c:numCache>
              <c:extLst/>
            </c:numRef>
          </c:val>
          <c:smooth val="0"/>
          <c:extLst>
            <c:ext xmlns:c16="http://schemas.microsoft.com/office/drawing/2014/chart" uri="{C3380CC4-5D6E-409C-BE32-E72D297353CC}">
              <c16:uniqueId val="{00000003-38F3-44F5-89FA-8DC76E7DBA92}"/>
            </c:ext>
          </c:extLst>
        </c:ser>
        <c:dLbls>
          <c:showLegendKey val="0"/>
          <c:showVal val="0"/>
          <c:showCatName val="0"/>
          <c:showSerName val="0"/>
          <c:showPercent val="0"/>
          <c:showBubbleSize val="0"/>
        </c:dLbls>
        <c:marker val="1"/>
        <c:smooth val="0"/>
        <c:axId val="1485193967"/>
        <c:axId val="1485194383"/>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GDP</c:v>
                      </c:pt>
                    </c:strCache>
                  </c:strRef>
                </c:tx>
                <c:spPr>
                  <a:ln w="28575" cap="rnd">
                    <a:solidFill>
                      <a:schemeClr val="accent2"/>
                    </a:solidFill>
                    <a:round/>
                  </a:ln>
                  <a:effectLst/>
                </c:spPr>
                <c:marker>
                  <c:symbol val="none"/>
                </c:marker>
                <c:cat>
                  <c:numRef>
                    <c:extLst>
                      <c:ext uri="{02D57815-91ED-43cb-92C2-25804820EDAC}">
                        <c15:formulaRef>
                          <c15:sqref>Sheet1!$A$22:$A$55</c15:sqref>
                        </c15:formulaRef>
                      </c:ext>
                    </c:extLst>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extLst>
                      <c:ext uri="{02D57815-91ED-43cb-92C2-25804820EDAC}">
                        <c15:formulaRef>
                          <c15:sqref>Sheet1!$C$22:$C$55</c15:sqref>
                        </c15:formulaRef>
                      </c:ext>
                    </c:extLst>
                    <c:numCache>
                      <c:formatCode>General</c:formatCode>
                      <c:ptCount val="34"/>
                      <c:pt idx="0">
                        <c:v>54035795387.808609</c:v>
                      </c:pt>
                      <c:pt idx="1">
                        <c:v>59526833412.358139</c:v>
                      </c:pt>
                      <c:pt idx="2">
                        <c:v>52058181853.805466</c:v>
                      </c:pt>
                      <c:pt idx="3">
                        <c:v>56721051402.47319</c:v>
                      </c:pt>
                      <c:pt idx="4">
                        <c:v>80399613063.636368</c:v>
                      </c:pt>
                      <c:pt idx="5">
                        <c:v>140919776986.36365</c:v>
                      </c:pt>
                      <c:pt idx="6">
                        <c:v>185730236700</c:v>
                      </c:pt>
                      <c:pt idx="7">
                        <c:v>200850397618.18182</c:v>
                      </c:pt>
                      <c:pt idx="8">
                        <c:v>218416200672.72726</c:v>
                      </c:pt>
                      <c:pt idx="9">
                        <c:v>59145077039.143692</c:v>
                      </c:pt>
                      <c:pt idx="10">
                        <c:v>69171451627.24646</c:v>
                      </c:pt>
                      <c:pt idx="11">
                        <c:v>73557840064.489044</c:v>
                      </c:pt>
                      <c:pt idx="12">
                        <c:v>95054059302.699463</c:v>
                      </c:pt>
                      <c:pt idx="13">
                        <c:v>104738954264.22569</c:v>
                      </c:pt>
                      <c:pt idx="14">
                        <c:v>135764731645.61142</c:v>
                      </c:pt>
                      <c:pt idx="15">
                        <c:v>175670569969.34561</c:v>
                      </c:pt>
                      <c:pt idx="16">
                        <c:v>238454997161.47983</c:v>
                      </c:pt>
                      <c:pt idx="17">
                        <c:v>278260846800.10303</c:v>
                      </c:pt>
                      <c:pt idx="18">
                        <c:v>339476276257.79291</c:v>
                      </c:pt>
                      <c:pt idx="19">
                        <c:v>295008835380.99658</c:v>
                      </c:pt>
                      <c:pt idx="20">
                        <c:v>366990417129.03961</c:v>
                      </c:pt>
                      <c:pt idx="21">
                        <c:v>414466676831.15967</c:v>
                      </c:pt>
                      <c:pt idx="22">
                        <c:v>463971018239.28052</c:v>
                      </c:pt>
                      <c:pt idx="23">
                        <c:v>520117180313.90601</c:v>
                      </c:pt>
                      <c:pt idx="24">
                        <c:v>574183763411.50757</c:v>
                      </c:pt>
                      <c:pt idx="25">
                        <c:v>493026682800.62952</c:v>
                      </c:pt>
                      <c:pt idx="26">
                        <c:v>404649125252.15955</c:v>
                      </c:pt>
                      <c:pt idx="27">
                        <c:v>375745731053.42682</c:v>
                      </c:pt>
                      <c:pt idx="28">
                        <c:v>421739251509.07959</c:v>
                      </c:pt>
                      <c:pt idx="29">
                        <c:v>474517490844.461</c:v>
                      </c:pt>
                      <c:pt idx="30">
                        <c:v>432198898467.79486</c:v>
                      </c:pt>
                      <c:pt idx="31">
                        <c:v>440838992188.47797</c:v>
                      </c:pt>
                      <c:pt idx="32">
                        <c:v>472624596925.93829</c:v>
                      </c:pt>
                      <c:pt idx="33">
                        <c:v>362814951696.07275</c:v>
                      </c:pt>
                    </c:numCache>
                  </c:numRef>
                </c:val>
                <c:smooth val="0"/>
                <c:extLst>
                  <c:ext xmlns:c16="http://schemas.microsoft.com/office/drawing/2014/chart" uri="{C3380CC4-5D6E-409C-BE32-E72D297353CC}">
                    <c16:uniqueId val="{00000004-38F3-44F5-89FA-8DC76E7DBA92}"/>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GDP (US$' billon)</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Sheet1!$A$22:$A$55</c15:sqref>
                        </c15:formulaRef>
                      </c:ext>
                    </c:extLst>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extLst xmlns:c15="http://schemas.microsoft.com/office/drawing/2012/chart">
                      <c:ext xmlns:c15="http://schemas.microsoft.com/office/drawing/2012/chart" uri="{02D57815-91ED-43cb-92C2-25804820EDAC}">
                        <c15:formulaRef>
                          <c15:sqref>Sheet1!$G$22:$G$55</c15:sqref>
                        </c15:formulaRef>
                      </c:ext>
                    </c:extLst>
                    <c:numCache>
                      <c:formatCode>_(* #,##0.00_);_(* \(#,##0.00\);_(* "-"??_);_(@_)</c:formatCode>
                      <c:ptCount val="34"/>
                      <c:pt idx="0">
                        <c:v>54.035795387808612</c:v>
                      </c:pt>
                      <c:pt idx="1">
                        <c:v>59.526833412358137</c:v>
                      </c:pt>
                      <c:pt idx="2">
                        <c:v>52.058181853805465</c:v>
                      </c:pt>
                      <c:pt idx="3">
                        <c:v>56.721051402473194</c:v>
                      </c:pt>
                      <c:pt idx="4">
                        <c:v>80.399613063636366</c:v>
                      </c:pt>
                      <c:pt idx="5">
                        <c:v>140.91977698636364</c:v>
                      </c:pt>
                      <c:pt idx="6">
                        <c:v>185.73023670000001</c:v>
                      </c:pt>
                      <c:pt idx="7">
                        <c:v>200.85039761818183</c:v>
                      </c:pt>
                      <c:pt idx="8">
                        <c:v>218.41620067272726</c:v>
                      </c:pt>
                      <c:pt idx="9">
                        <c:v>59.145077039143693</c:v>
                      </c:pt>
                      <c:pt idx="10">
                        <c:v>69.171451627246455</c:v>
                      </c:pt>
                      <c:pt idx="11">
                        <c:v>73.557840064489042</c:v>
                      </c:pt>
                      <c:pt idx="12">
                        <c:v>95.054059302699457</c:v>
                      </c:pt>
                      <c:pt idx="13">
                        <c:v>104.7389542642257</c:v>
                      </c:pt>
                      <c:pt idx="14">
                        <c:v>135.76473164561142</c:v>
                      </c:pt>
                      <c:pt idx="15">
                        <c:v>175.67056996934562</c:v>
                      </c:pt>
                      <c:pt idx="16">
                        <c:v>238.45499716147984</c:v>
                      </c:pt>
                      <c:pt idx="17">
                        <c:v>278.26084680010302</c:v>
                      </c:pt>
                      <c:pt idx="18">
                        <c:v>339.4762762577929</c:v>
                      </c:pt>
                      <c:pt idx="19">
                        <c:v>295.00883538099657</c:v>
                      </c:pt>
                      <c:pt idx="20">
                        <c:v>366.9904171290396</c:v>
                      </c:pt>
                      <c:pt idx="21">
                        <c:v>414.46667683115965</c:v>
                      </c:pt>
                      <c:pt idx="22">
                        <c:v>463.97101823928051</c:v>
                      </c:pt>
                      <c:pt idx="23">
                        <c:v>520.11718031390603</c:v>
                      </c:pt>
                      <c:pt idx="24">
                        <c:v>574.18376341150758</c:v>
                      </c:pt>
                      <c:pt idx="25">
                        <c:v>493.02668280062954</c:v>
                      </c:pt>
                      <c:pt idx="26">
                        <c:v>404.64912525215954</c:v>
                      </c:pt>
                      <c:pt idx="27">
                        <c:v>375.74573105342682</c:v>
                      </c:pt>
                      <c:pt idx="28">
                        <c:v>421.73925150907957</c:v>
                      </c:pt>
                      <c:pt idx="29">
                        <c:v>474.51749084446101</c:v>
                      </c:pt>
                      <c:pt idx="30">
                        <c:v>432.19889846779483</c:v>
                      </c:pt>
                      <c:pt idx="31">
                        <c:v>440.83899218847796</c:v>
                      </c:pt>
                      <c:pt idx="32">
                        <c:v>472.62459692593831</c:v>
                      </c:pt>
                      <c:pt idx="33">
                        <c:v>362.81495169607274</c:v>
                      </c:pt>
                    </c:numCache>
                  </c:numRef>
                </c:val>
                <c:smooth val="0"/>
                <c:extLst xmlns:c15="http://schemas.microsoft.com/office/drawing/2012/chart">
                  <c:ext xmlns:c16="http://schemas.microsoft.com/office/drawing/2014/chart" uri="{C3380CC4-5D6E-409C-BE32-E72D297353CC}">
                    <c16:uniqueId val="{00000005-38F3-44F5-89FA-8DC76E7DBA92}"/>
                  </c:ext>
                </c:extLst>
              </c15:ser>
            </c15:filteredLineSeries>
          </c:ext>
        </c:extLst>
      </c:lineChart>
      <c:catAx>
        <c:axId val="1492234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237839"/>
        <c:crosses val="autoZero"/>
        <c:auto val="1"/>
        <c:lblAlgn val="ctr"/>
        <c:lblOffset val="100"/>
        <c:noMultiLvlLbl val="0"/>
      </c:catAx>
      <c:valAx>
        <c:axId val="149223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234511"/>
        <c:crosses val="autoZero"/>
        <c:crossBetween val="between"/>
      </c:valAx>
      <c:valAx>
        <c:axId val="1485194383"/>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93967"/>
        <c:crosses val="max"/>
        <c:crossBetween val="between"/>
      </c:valAx>
      <c:catAx>
        <c:axId val="1485193967"/>
        <c:scaling>
          <c:orientation val="minMax"/>
        </c:scaling>
        <c:delete val="1"/>
        <c:axPos val="b"/>
        <c:numFmt formatCode="General" sourceLinked="1"/>
        <c:majorTickMark val="none"/>
        <c:minorTickMark val="none"/>
        <c:tickLblPos val="nextTo"/>
        <c:crossAx val="148519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6000-8FBC-4F87-B936-64413B65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9651</Words>
  <Characters>55017</Characters>
  <Application>Microsoft Office Word</Application>
  <DocSecurity>0</DocSecurity>
  <Lines>458</Lines>
  <Paragraphs>129</Paragraphs>
  <ScaleCrop>false</ScaleCrop>
  <Company/>
  <LinksUpToDate>false</LinksUpToDate>
  <CharactersWithSpaces>64539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2024-11-29T06:42:00Z</dcterms:created>
  <dcterms:modified xsi:type="dcterms:W3CDTF">2024-12-03T18:41:00Z</dcterms:modified>
</cp:coreProperties>
</file>