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1385"/>
        <w:gridCol w:w="3062"/>
        <w:gridCol w:w="1886"/>
        <w:gridCol w:w="3230"/>
        <w:gridCol w:w="1643"/>
        <w:gridCol w:w="3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5"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45"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84"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606"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1038" w:type="pct"/>
            <w:vAlign w:val="center"/>
          </w:tcPr>
          <w:p>
            <w:pPr>
              <w:jc w:val="center"/>
              <w:rPr>
                <w:sz w:val="24"/>
              </w:rPr>
            </w:pPr>
            <w:r>
              <w:rPr>
                <w:sz w:val="24"/>
              </w:rPr>
              <w:t>检测方法</w:t>
            </w:r>
          </w:p>
          <w:p>
            <w:pPr>
              <w:jc w:val="center"/>
              <w:rPr>
                <w:sz w:val="24"/>
              </w:rPr>
            </w:pPr>
            <w:r>
              <w:rPr>
                <w:sz w:val="24"/>
              </w:rPr>
              <w:t>Test Method</w:t>
            </w:r>
          </w:p>
        </w:tc>
        <w:tc>
          <w:tcPr>
            <w:tcW w:w="528" w:type="pct"/>
            <w:vAlign w:val="center"/>
          </w:tcPr>
          <w:p>
            <w:pPr>
              <w:jc w:val="center"/>
              <w:rPr>
                <w:sz w:val="24"/>
              </w:rPr>
            </w:pPr>
            <w:r>
              <w:rPr>
                <w:rFonts w:hint="eastAsia"/>
                <w:sz w:val="24"/>
              </w:rPr>
              <w:t>严重度</w:t>
            </w:r>
          </w:p>
          <w:p>
            <w:pPr>
              <w:jc w:val="center"/>
              <w:rPr>
                <w:sz w:val="24"/>
              </w:rPr>
            </w:pPr>
            <w:r>
              <w:rPr>
                <w:sz w:val="24"/>
              </w:rPr>
              <w:t>Severity</w:t>
            </w:r>
          </w:p>
        </w:tc>
        <w:tc>
          <w:tcPr>
            <w:tcW w:w="1211"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5"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45" w:type="pct"/>
            <w:vAlign w:val="center"/>
          </w:tcPr>
          <w:p>
            <w:pPr>
              <w:pStyle w:val="18"/>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材料</w:t>
            </w:r>
          </w:p>
        </w:tc>
        <w:tc>
          <w:tcPr>
            <w:tcW w:w="984"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6061-T6</w:t>
            </w:r>
          </w:p>
        </w:tc>
        <w:tc>
          <w:tcPr>
            <w:tcW w:w="60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103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28" w:type="pct"/>
            <w:vAlign w:val="top"/>
          </w:tcPr>
          <w:p>
            <w:pPr>
              <w:spacing w:line="240" w:lineRule="auto"/>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11"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45"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外观</w:t>
            </w:r>
          </w:p>
        </w:tc>
        <w:tc>
          <w:tcPr>
            <w:tcW w:w="984"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606"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103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28"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11"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45"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尺寸</w:t>
            </w:r>
          </w:p>
        </w:tc>
        <w:tc>
          <w:tcPr>
            <w:tcW w:w="984"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60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103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28"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11"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rFonts w:hint="eastAsia" w:eastAsia="宋体"/>
          <w:sz w:val="24"/>
          <w:lang w:val="en-US" w:eastAsia="zh-CN"/>
        </w:rPr>
      </w:pPr>
      <w:r>
        <w:rPr>
          <w:sz w:val="24"/>
        </w:rPr>
        <w:t>b) Material composition and other performance information required by quality standards;</w:t>
      </w:r>
      <w:bookmarkEnd w:id="0"/>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AAA-10100226-10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rFonts w:ascii="黑体" w:hAnsi="宋体" w:eastAsia="黑体"/>
          <w:b/>
          <w:sz w:val="28"/>
          <w:szCs w:val="28"/>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前后连接加强板2</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10100226</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前后连接加强板2</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10100226</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6A93A70"/>
    <w:rsid w:val="08FA536C"/>
    <w:rsid w:val="09473A76"/>
    <w:rsid w:val="0A6D3B99"/>
    <w:rsid w:val="0ABA3F1D"/>
    <w:rsid w:val="0C304C60"/>
    <w:rsid w:val="0CFF73C7"/>
    <w:rsid w:val="0DDC549C"/>
    <w:rsid w:val="0E371C64"/>
    <w:rsid w:val="0F4557F8"/>
    <w:rsid w:val="10273ED8"/>
    <w:rsid w:val="11E62704"/>
    <w:rsid w:val="12A17992"/>
    <w:rsid w:val="14FB354C"/>
    <w:rsid w:val="167F7404"/>
    <w:rsid w:val="17077A75"/>
    <w:rsid w:val="175F759B"/>
    <w:rsid w:val="176B5BFF"/>
    <w:rsid w:val="183C0DD2"/>
    <w:rsid w:val="1A545A6F"/>
    <w:rsid w:val="1CEE29F1"/>
    <w:rsid w:val="1CF133EF"/>
    <w:rsid w:val="1EA3376C"/>
    <w:rsid w:val="1F0B30B5"/>
    <w:rsid w:val="1F335700"/>
    <w:rsid w:val="1FBB6672"/>
    <w:rsid w:val="20EB4489"/>
    <w:rsid w:val="21252A05"/>
    <w:rsid w:val="2219440B"/>
    <w:rsid w:val="237658D2"/>
    <w:rsid w:val="23BF27C3"/>
    <w:rsid w:val="25CE2543"/>
    <w:rsid w:val="278D09E2"/>
    <w:rsid w:val="27A61B8B"/>
    <w:rsid w:val="27E61803"/>
    <w:rsid w:val="29E37FC4"/>
    <w:rsid w:val="2A524DC0"/>
    <w:rsid w:val="2AA75DDE"/>
    <w:rsid w:val="2ACC40C1"/>
    <w:rsid w:val="2ADA0AF4"/>
    <w:rsid w:val="2B421AC6"/>
    <w:rsid w:val="2BA66C4F"/>
    <w:rsid w:val="2D1057CD"/>
    <w:rsid w:val="2EB504C4"/>
    <w:rsid w:val="2F8A5B16"/>
    <w:rsid w:val="30EA506F"/>
    <w:rsid w:val="32777E7D"/>
    <w:rsid w:val="33281C77"/>
    <w:rsid w:val="34830D3F"/>
    <w:rsid w:val="34BD644B"/>
    <w:rsid w:val="35722936"/>
    <w:rsid w:val="35E253E6"/>
    <w:rsid w:val="35FB61A9"/>
    <w:rsid w:val="36F70DBC"/>
    <w:rsid w:val="37DA49D8"/>
    <w:rsid w:val="382350DE"/>
    <w:rsid w:val="38584A9D"/>
    <w:rsid w:val="39E26EA0"/>
    <w:rsid w:val="3D320741"/>
    <w:rsid w:val="3DE00F54"/>
    <w:rsid w:val="3EDF47EF"/>
    <w:rsid w:val="3F332287"/>
    <w:rsid w:val="3F625608"/>
    <w:rsid w:val="3FF95D4B"/>
    <w:rsid w:val="40445977"/>
    <w:rsid w:val="430D367A"/>
    <w:rsid w:val="43787D5C"/>
    <w:rsid w:val="45393EBA"/>
    <w:rsid w:val="4590717F"/>
    <w:rsid w:val="46972374"/>
    <w:rsid w:val="46D30004"/>
    <w:rsid w:val="46DC16B9"/>
    <w:rsid w:val="46DF043E"/>
    <w:rsid w:val="47051E4D"/>
    <w:rsid w:val="479A2D42"/>
    <w:rsid w:val="47B36AA1"/>
    <w:rsid w:val="48AE1CA7"/>
    <w:rsid w:val="48C43624"/>
    <w:rsid w:val="48DE5689"/>
    <w:rsid w:val="48EE49B8"/>
    <w:rsid w:val="491B4D4A"/>
    <w:rsid w:val="49B55618"/>
    <w:rsid w:val="4B0B12D8"/>
    <w:rsid w:val="4B1646F1"/>
    <w:rsid w:val="4C7E1FF6"/>
    <w:rsid w:val="4D0319E4"/>
    <w:rsid w:val="4D4A5378"/>
    <w:rsid w:val="4E3C0988"/>
    <w:rsid w:val="504E35F6"/>
    <w:rsid w:val="50B717D0"/>
    <w:rsid w:val="52132340"/>
    <w:rsid w:val="52753014"/>
    <w:rsid w:val="530D1EB1"/>
    <w:rsid w:val="538175EB"/>
    <w:rsid w:val="53873A0E"/>
    <w:rsid w:val="53994ACE"/>
    <w:rsid w:val="53F137CC"/>
    <w:rsid w:val="55107D86"/>
    <w:rsid w:val="55DF0692"/>
    <w:rsid w:val="571C0DD6"/>
    <w:rsid w:val="57815511"/>
    <w:rsid w:val="589A1BC1"/>
    <w:rsid w:val="5A085622"/>
    <w:rsid w:val="5A123D2E"/>
    <w:rsid w:val="5A9628FB"/>
    <w:rsid w:val="5D97155E"/>
    <w:rsid w:val="5DD20F4D"/>
    <w:rsid w:val="5F8B4880"/>
    <w:rsid w:val="5F90199F"/>
    <w:rsid w:val="61294925"/>
    <w:rsid w:val="616C62EE"/>
    <w:rsid w:val="63027EEB"/>
    <w:rsid w:val="63582B1E"/>
    <w:rsid w:val="63FD2A30"/>
    <w:rsid w:val="64A46DA4"/>
    <w:rsid w:val="65B03081"/>
    <w:rsid w:val="65D07B0C"/>
    <w:rsid w:val="65DB4AEA"/>
    <w:rsid w:val="66060E4D"/>
    <w:rsid w:val="672A351D"/>
    <w:rsid w:val="678B5F6F"/>
    <w:rsid w:val="6B16126F"/>
    <w:rsid w:val="6B8C547F"/>
    <w:rsid w:val="6D05711D"/>
    <w:rsid w:val="6E6D6A35"/>
    <w:rsid w:val="6F1943C6"/>
    <w:rsid w:val="6F36202D"/>
    <w:rsid w:val="715130D5"/>
    <w:rsid w:val="728D6ED8"/>
    <w:rsid w:val="734C1A44"/>
    <w:rsid w:val="737568C4"/>
    <w:rsid w:val="740710E6"/>
    <w:rsid w:val="75C12EE8"/>
    <w:rsid w:val="76051A38"/>
    <w:rsid w:val="762A5F65"/>
    <w:rsid w:val="76311F84"/>
    <w:rsid w:val="7690676E"/>
    <w:rsid w:val="779E428F"/>
    <w:rsid w:val="79A16344"/>
    <w:rsid w:val="79D165E9"/>
    <w:rsid w:val="7B0C50FC"/>
    <w:rsid w:val="7CD659E8"/>
    <w:rsid w:val="7D642433"/>
    <w:rsid w:val="7D66524B"/>
    <w:rsid w:val="7D7B6DDC"/>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964</Words>
  <Characters>2460</Characters>
  <Lines>21</Lines>
  <Paragraphs>10</Paragraphs>
  <TotalTime>0</TotalTime>
  <ScaleCrop>false</ScaleCrop>
  <LinksUpToDate>false</LinksUpToDate>
  <CharactersWithSpaces>2709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2022-12-08T02:20:35Z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