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3"/>
        <w:gridCol w:w="1447"/>
        <w:gridCol w:w="3162"/>
        <w:gridCol w:w="2521"/>
        <w:gridCol w:w="2963"/>
        <w:gridCol w:w="1908"/>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4"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65"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016"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10"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52" w:type="pct"/>
            <w:vAlign w:val="center"/>
          </w:tcPr>
          <w:p>
            <w:pPr>
              <w:jc w:val="center"/>
              <w:rPr>
                <w:sz w:val="24"/>
              </w:rPr>
            </w:pPr>
            <w:r>
              <w:rPr>
                <w:sz w:val="24"/>
              </w:rPr>
              <w:t>检测方法</w:t>
            </w:r>
          </w:p>
          <w:p>
            <w:pPr>
              <w:jc w:val="center"/>
              <w:rPr>
                <w:sz w:val="24"/>
              </w:rPr>
            </w:pPr>
            <w:r>
              <w:rPr>
                <w:sz w:val="24"/>
              </w:rPr>
              <w:t>Test Method</w:t>
            </w:r>
          </w:p>
        </w:tc>
        <w:tc>
          <w:tcPr>
            <w:tcW w:w="613" w:type="pct"/>
            <w:vAlign w:val="center"/>
          </w:tcPr>
          <w:p>
            <w:pPr>
              <w:jc w:val="center"/>
              <w:rPr>
                <w:sz w:val="24"/>
              </w:rPr>
            </w:pPr>
            <w:r>
              <w:rPr>
                <w:rFonts w:hint="eastAsia"/>
                <w:sz w:val="24"/>
              </w:rPr>
              <w:t>严重度</w:t>
            </w:r>
          </w:p>
          <w:p>
            <w:pPr>
              <w:jc w:val="center"/>
              <w:rPr>
                <w:sz w:val="24"/>
              </w:rPr>
            </w:pPr>
            <w:r>
              <w:rPr>
                <w:sz w:val="24"/>
              </w:rPr>
              <w:t>Severity</w:t>
            </w:r>
          </w:p>
        </w:tc>
        <w:tc>
          <w:tcPr>
            <w:tcW w:w="956"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184"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465"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1016"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6061-T6</w:t>
            </w:r>
          </w:p>
        </w:tc>
        <w:tc>
          <w:tcPr>
            <w:tcW w:w="810" w:type="pct"/>
            <w:vAlign w:val="center"/>
          </w:tcPr>
          <w:p>
            <w:pPr>
              <w:jc w:val="center"/>
              <w:rPr>
                <w:rFonts w:hint="default" w:eastAsia="宋体"/>
                <w:color w:val="auto"/>
                <w:sz w:val="24"/>
                <w:lang w:val="en-US" w:eastAsia="zh-CN"/>
              </w:rPr>
            </w:pPr>
            <w:r>
              <w:rPr>
                <w:rFonts w:hint="eastAsia"/>
                <w:color w:val="auto"/>
                <w:sz w:val="24"/>
                <w:lang w:val="en-US" w:eastAsia="zh-CN"/>
              </w:rPr>
              <w:t>/</w:t>
            </w:r>
          </w:p>
        </w:tc>
        <w:tc>
          <w:tcPr>
            <w:tcW w:w="952" w:type="pct"/>
            <w:vAlign w:val="center"/>
          </w:tcPr>
          <w:p>
            <w:pPr>
              <w:jc w:val="center"/>
              <w:rPr>
                <w:rFonts w:hint="eastAsia" w:eastAsia="宋体"/>
                <w:color w:val="auto"/>
                <w:sz w:val="24"/>
                <w:lang w:val="en-US" w:eastAsia="zh-CN"/>
              </w:rPr>
            </w:pPr>
            <w:r>
              <w:rPr>
                <w:rFonts w:hint="eastAsia"/>
                <w:color w:val="auto"/>
                <w:sz w:val="24"/>
                <w:lang w:val="en-US" w:eastAsia="zh-CN"/>
              </w:rPr>
              <w:t>对照材质证明</w:t>
            </w:r>
          </w:p>
        </w:tc>
        <w:tc>
          <w:tcPr>
            <w:tcW w:w="613" w:type="pct"/>
            <w:vAlign w:val="top"/>
          </w:tcPr>
          <w:p>
            <w:pPr>
              <w:spacing w:line="240" w:lineRule="auto"/>
              <w:jc w:val="center"/>
              <w:rPr>
                <w:color w:val="auto"/>
                <w:sz w:val="24"/>
              </w:rPr>
            </w:pPr>
            <w:r>
              <w:rPr>
                <w:rFonts w:hint="eastAsia"/>
                <w:color w:val="auto"/>
                <w:sz w:val="24"/>
                <w:lang w:val="en-US" w:eastAsia="zh-CN"/>
              </w:rPr>
              <w:t>B</w:t>
            </w:r>
          </w:p>
        </w:tc>
        <w:tc>
          <w:tcPr>
            <w:tcW w:w="956" w:type="pct"/>
            <w:vAlign w:val="center"/>
          </w:tcPr>
          <w:p>
            <w:pPr>
              <w:jc w:val="center"/>
              <w:rPr>
                <w:rFonts w:hint="default" w:eastAsia="宋体"/>
                <w:color w:val="auto"/>
                <w:sz w:val="24"/>
                <w:lang w:val="en-US" w:eastAsia="zh-CN"/>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4"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65"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1016" w:type="pct"/>
            <w:vAlign w:val="center"/>
          </w:tcPr>
          <w:p>
            <w:pPr>
              <w:pStyle w:val="18"/>
              <w:numPr>
                <w:ilvl w:val="0"/>
                <w:numId w:val="0"/>
              </w:numPr>
              <w:adjustRightInd w:val="0"/>
              <w:snapToGrid w:val="0"/>
              <w:ind w:left="0" w:leftChars="0" w:firstLine="0" w:firstLineChars="0"/>
              <w:jc w:val="center"/>
              <w:rPr>
                <w:rFonts w:hint="default" w:eastAsia="宋体"/>
                <w:color w:val="auto"/>
                <w:sz w:val="24"/>
                <w:lang w:val="en-US" w:eastAsia="zh-CN"/>
              </w:rPr>
            </w:pPr>
            <w:r>
              <w:rPr>
                <w:rFonts w:hint="eastAsia"/>
                <w:sz w:val="24"/>
                <w:lang w:val="en-US" w:eastAsia="zh-CN"/>
              </w:rPr>
              <w:t>本色阳极氧化；</w:t>
            </w: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810" w:type="pct"/>
            <w:vAlign w:val="center"/>
          </w:tcPr>
          <w:p>
            <w:pPr>
              <w:jc w:val="center"/>
              <w:rPr>
                <w:rFonts w:hint="eastAsia" w:eastAsia="宋体"/>
                <w:color w:val="auto"/>
                <w:sz w:val="24"/>
                <w:lang w:val="en-US" w:eastAsia="zh-CN"/>
              </w:rPr>
            </w:pPr>
            <w:r>
              <w:rPr>
                <w:rFonts w:hint="eastAsia"/>
                <w:color w:val="auto"/>
                <w:sz w:val="24"/>
                <w:lang w:val="en-US" w:eastAsia="zh-CN"/>
              </w:rPr>
              <w:t>/</w:t>
            </w:r>
          </w:p>
        </w:tc>
        <w:tc>
          <w:tcPr>
            <w:tcW w:w="952" w:type="pct"/>
            <w:vAlign w:val="center"/>
          </w:tcPr>
          <w:p>
            <w:pPr>
              <w:jc w:val="center"/>
              <w:rPr>
                <w:rFonts w:hint="default" w:eastAsia="宋体"/>
                <w:color w:val="auto"/>
                <w:sz w:val="24"/>
                <w:lang w:val="en-US" w:eastAsia="zh-CN"/>
              </w:rPr>
            </w:pPr>
            <w:r>
              <w:rPr>
                <w:rFonts w:hint="eastAsia"/>
                <w:sz w:val="24"/>
              </w:rPr>
              <w:t>正常或矫正视力目视</w:t>
            </w:r>
          </w:p>
        </w:tc>
        <w:tc>
          <w:tcPr>
            <w:tcW w:w="613" w:type="pct"/>
            <w:vAlign w:val="top"/>
          </w:tcPr>
          <w:p>
            <w:pPr>
              <w:jc w:val="center"/>
              <w:rPr>
                <w:color w:val="auto"/>
                <w:sz w:val="24"/>
              </w:rPr>
            </w:pPr>
            <w:r>
              <w:rPr>
                <w:rFonts w:hint="eastAsia"/>
                <w:color w:val="auto"/>
                <w:sz w:val="24"/>
                <w:lang w:val="en-US" w:eastAsia="zh-CN"/>
              </w:rPr>
              <w:t>B</w:t>
            </w:r>
          </w:p>
        </w:tc>
        <w:tc>
          <w:tcPr>
            <w:tcW w:w="956" w:type="pct"/>
            <w:vAlign w:val="center"/>
          </w:tcPr>
          <w:p>
            <w:pPr>
              <w:jc w:val="center"/>
              <w:rPr>
                <w:rFonts w:hint="eastAsia" w:eastAsia="宋体"/>
                <w:color w:val="auto"/>
                <w:sz w:val="24"/>
                <w:highlight w:val="yellow"/>
                <w:lang w:val="en-US" w:eastAsia="zh-CN"/>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4"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65"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1016"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见图纸</w:t>
            </w:r>
          </w:p>
        </w:tc>
        <w:tc>
          <w:tcPr>
            <w:tcW w:w="810" w:type="pct"/>
            <w:vAlign w:val="center"/>
          </w:tcPr>
          <w:p>
            <w:pPr>
              <w:jc w:val="center"/>
              <w:rPr>
                <w:rFonts w:hint="default" w:eastAsia="宋体"/>
                <w:color w:val="auto"/>
                <w:sz w:val="24"/>
                <w:lang w:val="en-US" w:eastAsia="zh-CN"/>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52" w:type="pct"/>
            <w:vAlign w:val="center"/>
          </w:tcPr>
          <w:p>
            <w:pPr>
              <w:jc w:val="center"/>
              <w:rPr>
                <w:rFonts w:hint="default" w:eastAsia="宋体"/>
                <w:color w:val="auto"/>
                <w:sz w:val="24"/>
                <w:lang w:val="en-US" w:eastAsia="zh-CN"/>
              </w:rPr>
            </w:pPr>
            <w:r>
              <w:rPr>
                <w:rFonts w:hint="eastAsia"/>
                <w:sz w:val="24"/>
              </w:rPr>
              <w:t>根据尺寸特点及量具选择定义检测方法</w:t>
            </w:r>
          </w:p>
        </w:tc>
        <w:tc>
          <w:tcPr>
            <w:tcW w:w="613" w:type="pct"/>
            <w:vAlign w:val="top"/>
          </w:tcPr>
          <w:p>
            <w:pPr>
              <w:jc w:val="center"/>
              <w:rPr>
                <w:color w:val="auto"/>
                <w:sz w:val="24"/>
              </w:rPr>
            </w:pPr>
            <w:r>
              <w:rPr>
                <w:rFonts w:hint="eastAsia"/>
                <w:color w:val="auto"/>
                <w:sz w:val="24"/>
                <w:lang w:val="en-US" w:eastAsia="zh-CN"/>
              </w:rPr>
              <w:t>B</w:t>
            </w:r>
          </w:p>
        </w:tc>
        <w:tc>
          <w:tcPr>
            <w:tcW w:w="956" w:type="pct"/>
            <w:vAlign w:val="center"/>
          </w:tcPr>
          <w:p>
            <w:pPr>
              <w:jc w:val="center"/>
              <w:rPr>
                <w:rFonts w:hint="eastAsia" w:eastAsia="宋体"/>
                <w:color w:val="auto"/>
                <w:sz w:val="24"/>
                <w:lang w:val="en-US" w:eastAsia="zh-CN"/>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rFonts w:hint="eastAsia" w:eastAsia="宋体"/>
          <w:sz w:val="24"/>
          <w:lang w:val="en-US" w:eastAsia="zh-CN"/>
        </w:rPr>
      </w:pPr>
      <w:r>
        <w:rPr>
          <w:sz w:val="24"/>
        </w:rPr>
        <w:t>b) Material composition and other performance information required by quality standards;</w:t>
      </w:r>
      <w:bookmarkEnd w:id="0"/>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AAA-10100236-10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tabs>
          <w:tab w:val="left" w:pos="4585"/>
        </w:tabs>
        <w:bidi w:val="0"/>
        <w:jc w:val="left"/>
        <w:rPr>
          <w:lang w:val="fr-FR" w:eastAsia="zh-CN"/>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燕尾槽导轨</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10100236</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燕尾槽导轨</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10100236</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5D33E24"/>
    <w:rsid w:val="06A93A70"/>
    <w:rsid w:val="09473A76"/>
    <w:rsid w:val="0A6D3B99"/>
    <w:rsid w:val="0ABA3F1D"/>
    <w:rsid w:val="0C304C60"/>
    <w:rsid w:val="0CFF73C7"/>
    <w:rsid w:val="0DDC549C"/>
    <w:rsid w:val="0DEA328E"/>
    <w:rsid w:val="0E024E89"/>
    <w:rsid w:val="0E371C64"/>
    <w:rsid w:val="0F4557F8"/>
    <w:rsid w:val="10273ED8"/>
    <w:rsid w:val="11E62704"/>
    <w:rsid w:val="12A17992"/>
    <w:rsid w:val="132C3C3F"/>
    <w:rsid w:val="133826B0"/>
    <w:rsid w:val="14FB354C"/>
    <w:rsid w:val="17077A75"/>
    <w:rsid w:val="175F759B"/>
    <w:rsid w:val="176B5BFF"/>
    <w:rsid w:val="183C0DD2"/>
    <w:rsid w:val="1A545A6F"/>
    <w:rsid w:val="1CEE29F1"/>
    <w:rsid w:val="1CF133EF"/>
    <w:rsid w:val="1EA3376C"/>
    <w:rsid w:val="1F0B30B5"/>
    <w:rsid w:val="1FBB6672"/>
    <w:rsid w:val="20EB4489"/>
    <w:rsid w:val="21252A05"/>
    <w:rsid w:val="2219440B"/>
    <w:rsid w:val="23BF27C3"/>
    <w:rsid w:val="258F5A6A"/>
    <w:rsid w:val="25CE2543"/>
    <w:rsid w:val="278D09E2"/>
    <w:rsid w:val="27A61B8B"/>
    <w:rsid w:val="27E61803"/>
    <w:rsid w:val="283429B2"/>
    <w:rsid w:val="29E37FC4"/>
    <w:rsid w:val="2A524DC0"/>
    <w:rsid w:val="2AA75DDE"/>
    <w:rsid w:val="2ACC40C1"/>
    <w:rsid w:val="2ADA0AF4"/>
    <w:rsid w:val="2B421AC6"/>
    <w:rsid w:val="2BA66C4F"/>
    <w:rsid w:val="2BEC2B5B"/>
    <w:rsid w:val="2CCC4F6E"/>
    <w:rsid w:val="2D1057CD"/>
    <w:rsid w:val="2DDB3CC8"/>
    <w:rsid w:val="2EB504C4"/>
    <w:rsid w:val="2F8A5B16"/>
    <w:rsid w:val="30EA506F"/>
    <w:rsid w:val="32777E7D"/>
    <w:rsid w:val="33281C77"/>
    <w:rsid w:val="34830D3F"/>
    <w:rsid w:val="34BD644B"/>
    <w:rsid w:val="35722936"/>
    <w:rsid w:val="35E253E6"/>
    <w:rsid w:val="35FB61A9"/>
    <w:rsid w:val="36F70DBC"/>
    <w:rsid w:val="382350DE"/>
    <w:rsid w:val="38584A9D"/>
    <w:rsid w:val="39E26EA0"/>
    <w:rsid w:val="3D320741"/>
    <w:rsid w:val="3DE00F54"/>
    <w:rsid w:val="3E7D2A2E"/>
    <w:rsid w:val="3EDF47EF"/>
    <w:rsid w:val="3EED5761"/>
    <w:rsid w:val="3F625608"/>
    <w:rsid w:val="3FF95D4B"/>
    <w:rsid w:val="40445977"/>
    <w:rsid w:val="42D41671"/>
    <w:rsid w:val="430D367A"/>
    <w:rsid w:val="45393EBA"/>
    <w:rsid w:val="4590717F"/>
    <w:rsid w:val="45B22E8F"/>
    <w:rsid w:val="45D5140E"/>
    <w:rsid w:val="46972374"/>
    <w:rsid w:val="46D30004"/>
    <w:rsid w:val="46DC16B9"/>
    <w:rsid w:val="46DF043E"/>
    <w:rsid w:val="47051E4D"/>
    <w:rsid w:val="479A2D42"/>
    <w:rsid w:val="47B36AA1"/>
    <w:rsid w:val="48AE1CA7"/>
    <w:rsid w:val="48C43624"/>
    <w:rsid w:val="48DE5689"/>
    <w:rsid w:val="48EE49B8"/>
    <w:rsid w:val="491B4D4A"/>
    <w:rsid w:val="49B55618"/>
    <w:rsid w:val="4B0B12D8"/>
    <w:rsid w:val="4B1646F1"/>
    <w:rsid w:val="4C7E1FF6"/>
    <w:rsid w:val="4D0319E4"/>
    <w:rsid w:val="4D4A5378"/>
    <w:rsid w:val="4D6D64CF"/>
    <w:rsid w:val="4E3C0988"/>
    <w:rsid w:val="502B48D7"/>
    <w:rsid w:val="504E35F6"/>
    <w:rsid w:val="50B717D0"/>
    <w:rsid w:val="52132340"/>
    <w:rsid w:val="52753014"/>
    <w:rsid w:val="530D1EB1"/>
    <w:rsid w:val="538175EB"/>
    <w:rsid w:val="53873A0E"/>
    <w:rsid w:val="53994ACE"/>
    <w:rsid w:val="53F137CC"/>
    <w:rsid w:val="55107D86"/>
    <w:rsid w:val="55DF0692"/>
    <w:rsid w:val="571C0DD6"/>
    <w:rsid w:val="57815511"/>
    <w:rsid w:val="57C72D12"/>
    <w:rsid w:val="586640DC"/>
    <w:rsid w:val="589A1BC1"/>
    <w:rsid w:val="59570FAA"/>
    <w:rsid w:val="5A085622"/>
    <w:rsid w:val="5D97155E"/>
    <w:rsid w:val="5DD20F4D"/>
    <w:rsid w:val="5F8B4880"/>
    <w:rsid w:val="5F90199F"/>
    <w:rsid w:val="61294925"/>
    <w:rsid w:val="616C62EE"/>
    <w:rsid w:val="62D26959"/>
    <w:rsid w:val="63027EEB"/>
    <w:rsid w:val="63582B1E"/>
    <w:rsid w:val="63FD2A30"/>
    <w:rsid w:val="64A46DA4"/>
    <w:rsid w:val="64E427A4"/>
    <w:rsid w:val="65B03081"/>
    <w:rsid w:val="65D07B0C"/>
    <w:rsid w:val="65DB4AEA"/>
    <w:rsid w:val="66060E4D"/>
    <w:rsid w:val="672A351D"/>
    <w:rsid w:val="678B5F6F"/>
    <w:rsid w:val="68E105E2"/>
    <w:rsid w:val="6B16126F"/>
    <w:rsid w:val="6B8C547F"/>
    <w:rsid w:val="6D05711D"/>
    <w:rsid w:val="6E6D6A35"/>
    <w:rsid w:val="6F36202D"/>
    <w:rsid w:val="6FB519B5"/>
    <w:rsid w:val="715130D5"/>
    <w:rsid w:val="728D6ED8"/>
    <w:rsid w:val="734C1A44"/>
    <w:rsid w:val="737568C4"/>
    <w:rsid w:val="740710E6"/>
    <w:rsid w:val="75C12EE8"/>
    <w:rsid w:val="76051A38"/>
    <w:rsid w:val="762A5F65"/>
    <w:rsid w:val="76311F84"/>
    <w:rsid w:val="7690676E"/>
    <w:rsid w:val="779E428F"/>
    <w:rsid w:val="79A16344"/>
    <w:rsid w:val="79D165E9"/>
    <w:rsid w:val="7B0C50FC"/>
    <w:rsid w:val="7CD659E8"/>
    <w:rsid w:val="7D642433"/>
    <w:rsid w:val="7D66524B"/>
    <w:rsid w:val="7D7B6DDC"/>
    <w:rsid w:val="7E1E04D8"/>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971</Words>
  <Characters>2467</Characters>
  <Lines>21</Lines>
  <Paragraphs>10</Paragraphs>
  <TotalTime>0</TotalTime>
  <ScaleCrop>false</ScaleCrop>
  <LinksUpToDate>false</LinksUpToDate>
  <CharactersWithSpaces>2716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2022-12-08T02:22:15Z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