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外观无明显划伤，不能有锡渣锡珠等残留物。</w:t>
            </w:r>
          </w:p>
          <w:p>
            <w:pPr>
              <w:pStyle w:val="18"/>
              <w:numPr>
                <w:ilvl w:val="0"/>
                <w:numId w:val="1"/>
              </w:numPr>
              <w:adjustRightInd w:val="0"/>
              <w:snapToGrid w:val="0"/>
              <w:ind w:firstLineChars="0"/>
              <w:rPr>
                <w:sz w:val="24"/>
              </w:rPr>
            </w:pPr>
            <w:r>
              <w:rPr>
                <w:rFonts w:hint="eastAsia"/>
                <w:sz w:val="24"/>
              </w:rPr>
              <w:t>没有短路，多锡，错件、撞件、冷焊、空焊等焊接问题</w:t>
            </w:r>
          </w:p>
          <w:p>
            <w:pPr>
              <w:pStyle w:val="18"/>
              <w:numPr>
                <w:ilvl w:val="0"/>
                <w:numId w:val="1"/>
              </w:numPr>
              <w:adjustRightInd w:val="0"/>
              <w:snapToGrid w:val="0"/>
              <w:ind w:firstLineChars="0"/>
              <w:rPr>
                <w:sz w:val="24"/>
              </w:rPr>
            </w:pPr>
            <w:r>
              <w:rPr>
                <w:rFonts w:hint="eastAsia"/>
                <w:sz w:val="24"/>
              </w:rPr>
              <w:t>插件引脚长度符合要求</w:t>
            </w:r>
          </w:p>
          <w:p>
            <w:pPr>
              <w:pStyle w:val="18"/>
              <w:numPr>
                <w:ilvl w:val="0"/>
                <w:numId w:val="1"/>
              </w:numPr>
              <w:adjustRightInd w:val="0"/>
              <w:snapToGrid w:val="0"/>
              <w:ind w:firstLineChars="0"/>
              <w:rPr>
                <w:sz w:val="24"/>
              </w:rPr>
            </w:pPr>
            <w:r>
              <w:rPr>
                <w:rFonts w:hint="eastAsia"/>
                <w:sz w:val="24"/>
              </w:rPr>
              <w:t>丝印标签正清晰</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r>
              <w:rPr>
                <w:rFonts w:hint="eastAsia"/>
                <w:sz w:val="24"/>
              </w:rPr>
              <w:t>外观</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2</w:t>
            </w:r>
          </w:p>
        </w:tc>
        <w:tc>
          <w:tcPr>
            <w:tcW w:w="610" w:type="pct"/>
            <w:vAlign w:val="center"/>
          </w:tcPr>
          <w:p>
            <w:pPr>
              <w:jc w:val="center"/>
              <w:rPr>
                <w:sz w:val="24"/>
              </w:rPr>
            </w:pPr>
            <w:r>
              <w:rPr>
                <w:rFonts w:hint="eastAsia"/>
                <w:sz w:val="24"/>
              </w:rPr>
              <w:t>功能</w:t>
            </w:r>
          </w:p>
        </w:tc>
        <w:tc>
          <w:tcPr>
            <w:tcW w:w="1580" w:type="pct"/>
            <w:vAlign w:val="center"/>
          </w:tcPr>
          <w:p>
            <w:pPr>
              <w:pStyle w:val="18"/>
              <w:numPr>
                <w:ilvl w:val="0"/>
                <w:numId w:val="2"/>
              </w:numPr>
              <w:adjustRightInd w:val="0"/>
              <w:snapToGrid w:val="0"/>
              <w:ind w:firstLineChars="0"/>
              <w:rPr>
                <w:sz w:val="24"/>
              </w:rPr>
            </w:pPr>
            <w:r>
              <w:rPr>
                <w:rFonts w:hint="eastAsia"/>
                <w:sz w:val="24"/>
              </w:rPr>
              <w:t>电机驱动功能</w:t>
            </w:r>
          </w:p>
          <w:p>
            <w:pPr>
              <w:pStyle w:val="18"/>
              <w:numPr>
                <w:ilvl w:val="0"/>
                <w:numId w:val="2"/>
              </w:numPr>
              <w:adjustRightInd w:val="0"/>
              <w:snapToGrid w:val="0"/>
              <w:ind w:firstLineChars="0"/>
              <w:rPr>
                <w:sz w:val="24"/>
              </w:rPr>
            </w:pPr>
            <w:r>
              <w:rPr>
                <w:rFonts w:hint="eastAsia"/>
                <w:sz w:val="24"/>
                <w:lang w:val="en-US" w:eastAsia="zh-CN"/>
              </w:rPr>
              <w:t>节点电压</w:t>
            </w:r>
          </w:p>
        </w:tc>
        <w:tc>
          <w:tcPr>
            <w:tcW w:w="852" w:type="pct"/>
            <w:vAlign w:val="center"/>
          </w:tcPr>
          <w:p>
            <w:pPr>
              <w:jc w:val="center"/>
              <w:rPr>
                <w:sz w:val="24"/>
              </w:rPr>
            </w:pPr>
            <w:r>
              <w:rPr>
                <w:rFonts w:hint="eastAsia"/>
                <w:sz w:val="24"/>
              </w:rPr>
              <w:t>底板测试工装</w:t>
            </w:r>
          </w:p>
        </w:tc>
        <w:tc>
          <w:tcPr>
            <w:tcW w:w="716" w:type="pct"/>
            <w:vAlign w:val="center"/>
          </w:tcPr>
          <w:p>
            <w:pPr>
              <w:rPr>
                <w:sz w:val="24"/>
              </w:rPr>
            </w:pPr>
            <w:r>
              <w:rPr>
                <w:rFonts w:hint="eastAsia"/>
                <w:sz w:val="24"/>
              </w:rPr>
              <w:t>根据底板测试指导书步骤进行测试</w:t>
            </w:r>
          </w:p>
        </w:tc>
        <w:tc>
          <w:tcPr>
            <w:tcW w:w="459" w:type="pct"/>
            <w:vAlign w:val="center"/>
          </w:tcPr>
          <w:p>
            <w:pPr>
              <w:jc w:val="center"/>
              <w:rPr>
                <w:sz w:val="24"/>
              </w:rPr>
            </w:pPr>
            <w:r>
              <w:rPr>
                <w:sz w:val="24"/>
              </w:rPr>
              <w:t>B</w:t>
            </w:r>
          </w:p>
        </w:tc>
        <w:tc>
          <w:tcPr>
            <w:tcW w:w="564"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3</w:t>
            </w:r>
          </w:p>
        </w:tc>
        <w:tc>
          <w:tcPr>
            <w:tcW w:w="610" w:type="pct"/>
            <w:vAlign w:val="center"/>
          </w:tcPr>
          <w:p>
            <w:pPr>
              <w:ind w:firstLine="480" w:firstLineChars="200"/>
              <w:jc w:val="left"/>
              <w:rPr>
                <w:sz w:val="24"/>
              </w:rPr>
            </w:pPr>
            <w:r>
              <w:rPr>
                <w:rFonts w:hint="eastAsia"/>
                <w:sz w:val="24"/>
              </w:rPr>
              <w:t>产品描述</w:t>
            </w:r>
          </w:p>
        </w:tc>
        <w:tc>
          <w:tcPr>
            <w:tcW w:w="1580" w:type="pct"/>
            <w:vAlign w:val="center"/>
          </w:tcPr>
          <w:p>
            <w:pPr>
              <w:pStyle w:val="18"/>
              <w:numPr>
                <w:ilvl w:val="0"/>
                <w:numId w:val="3"/>
              </w:numPr>
              <w:adjustRightInd w:val="0"/>
              <w:snapToGrid w:val="0"/>
              <w:ind w:firstLineChars="0"/>
              <w:rPr>
                <w:sz w:val="24"/>
              </w:rPr>
            </w:pPr>
            <w:r>
              <w:rPr>
                <w:rFonts w:hint="eastAsia"/>
                <w:sz w:val="24"/>
              </w:rPr>
              <w:t>名称：</w:t>
            </w:r>
            <w:r>
              <w:rPr>
                <w:rFonts w:hint="eastAsia"/>
                <w:sz w:val="24"/>
                <w:lang w:val="en-US" w:eastAsia="zh-CN"/>
              </w:rPr>
              <w:t>床旁驱动</w:t>
            </w:r>
            <w:r>
              <w:rPr>
                <w:rFonts w:hint="eastAsia"/>
                <w:sz w:val="24"/>
              </w:rPr>
              <w:t>板</w:t>
            </w:r>
          </w:p>
          <w:p>
            <w:pPr>
              <w:pStyle w:val="18"/>
              <w:numPr>
                <w:ilvl w:val="0"/>
                <w:numId w:val="3"/>
              </w:numPr>
              <w:adjustRightInd w:val="0"/>
              <w:snapToGrid w:val="0"/>
              <w:ind w:firstLineChars="0"/>
              <w:rPr>
                <w:sz w:val="24"/>
              </w:rPr>
            </w:pPr>
            <w:r>
              <w:rPr>
                <w:rFonts w:hint="eastAsia"/>
                <w:sz w:val="24"/>
              </w:rPr>
              <w:t>规格型号：</w:t>
            </w:r>
            <w:r>
              <w:rPr>
                <w:rFonts w:hint="eastAsia"/>
                <w:sz w:val="24"/>
                <w:lang w:val="en-US" w:eastAsia="zh-CN"/>
              </w:rPr>
              <w:t>3S3P1SV10-3805-V1.0</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4</w:t>
            </w:r>
          </w:p>
        </w:tc>
        <w:tc>
          <w:tcPr>
            <w:tcW w:w="610" w:type="pct"/>
            <w:vAlign w:val="center"/>
          </w:tcPr>
          <w:p>
            <w:pPr>
              <w:ind w:firstLine="480" w:firstLineChars="200"/>
              <w:jc w:val="left"/>
              <w:rPr>
                <w:sz w:val="24"/>
              </w:rPr>
            </w:pPr>
            <w:r>
              <w:rPr>
                <w:rFonts w:hint="eastAsia"/>
                <w:sz w:val="24"/>
              </w:rPr>
              <w:t>产品包装</w:t>
            </w:r>
          </w:p>
        </w:tc>
        <w:tc>
          <w:tcPr>
            <w:tcW w:w="1580" w:type="pct"/>
            <w:vAlign w:val="center"/>
          </w:tcPr>
          <w:p>
            <w:pPr>
              <w:pStyle w:val="18"/>
              <w:numPr>
                <w:ilvl w:val="0"/>
                <w:numId w:val="4"/>
              </w:numPr>
              <w:adjustRightInd w:val="0"/>
              <w:snapToGrid w:val="0"/>
              <w:ind w:firstLineChars="0"/>
              <w:rPr>
                <w:sz w:val="24"/>
              </w:rPr>
            </w:pPr>
            <w:r>
              <w:rPr>
                <w:rFonts w:hint="eastAsia"/>
                <w:sz w:val="24"/>
              </w:rPr>
              <w:t>在每P</w:t>
            </w:r>
            <w:r>
              <w:rPr>
                <w:sz w:val="24"/>
              </w:rPr>
              <w:t>CS</w:t>
            </w:r>
            <w:r>
              <w:rPr>
                <w:rFonts w:hint="eastAsia"/>
                <w:sz w:val="24"/>
              </w:rPr>
              <w:t>产品外增加静电袋保护</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eastAsia="zh-CN"/>
              </w:rPr>
            </w:pPr>
            <w:r>
              <w:rPr>
                <w:rFonts w:hint="eastAsia"/>
                <w:sz w:val="24"/>
                <w:lang w:val="en-US" w:eastAsia="zh-CN"/>
              </w:rPr>
              <w:t>5</w:t>
            </w:r>
          </w:p>
        </w:tc>
        <w:tc>
          <w:tcPr>
            <w:tcW w:w="610" w:type="pct"/>
            <w:vAlign w:val="center"/>
          </w:tcPr>
          <w:p>
            <w:pPr>
              <w:ind w:firstLine="480" w:firstLineChars="200"/>
              <w:jc w:val="left"/>
              <w:rPr>
                <w:sz w:val="24"/>
              </w:rPr>
            </w:pPr>
            <w:r>
              <w:rPr>
                <w:rFonts w:hint="eastAsia"/>
                <w:sz w:val="24"/>
              </w:rPr>
              <w:t>单证资料</w:t>
            </w:r>
          </w:p>
        </w:tc>
        <w:tc>
          <w:tcPr>
            <w:tcW w:w="1580" w:type="pct"/>
            <w:vAlign w:val="center"/>
          </w:tcPr>
          <w:p>
            <w:pPr>
              <w:pStyle w:val="18"/>
              <w:numPr>
                <w:ilvl w:val="0"/>
                <w:numId w:val="4"/>
              </w:numPr>
              <w:adjustRightInd w:val="0"/>
              <w:snapToGrid w:val="0"/>
              <w:ind w:firstLineChars="0"/>
              <w:rPr>
                <w:sz w:val="24"/>
              </w:rPr>
            </w:pPr>
            <w:r>
              <w:rPr>
                <w:rFonts w:hint="eastAsia"/>
                <w:sz w:val="24"/>
              </w:rPr>
              <w:t>每批次产品需提供</w:t>
            </w:r>
            <w:r>
              <w:rPr>
                <w:rFonts w:hint="eastAsia"/>
                <w:sz w:val="24"/>
                <w:lang w:val="en-US" w:eastAsia="zh-CN"/>
              </w:rPr>
              <w:t>生产厂家出厂检验表</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目视检查产品包装内是否有合格证书单据</w:t>
            </w:r>
          </w:p>
        </w:tc>
        <w:tc>
          <w:tcPr>
            <w:tcW w:w="459" w:type="pct"/>
            <w:vAlign w:val="center"/>
          </w:tcPr>
          <w:p>
            <w:pPr>
              <w:jc w:val="center"/>
              <w:rPr>
                <w:sz w:val="24"/>
              </w:rPr>
            </w:pPr>
            <w:r>
              <w:rPr>
                <w:rFonts w:hint="eastAsia"/>
                <w:sz w:val="24"/>
              </w:rPr>
              <w:t>B</w:t>
            </w:r>
          </w:p>
        </w:tc>
        <w:tc>
          <w:tcPr>
            <w:tcW w:w="564" w:type="pct"/>
            <w:vAlign w:val="center"/>
          </w:tcPr>
          <w:p>
            <w:pPr>
              <w:jc w:val="left"/>
              <w:rPr>
                <w:sz w:val="24"/>
              </w:rPr>
            </w:pPr>
            <w:r>
              <w:rPr>
                <w:rFonts w:hint="eastAsia"/>
                <w:sz w:val="24"/>
              </w:rPr>
              <w:t>每批检验一次</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sz w:val="24"/>
        </w:rPr>
      </w:pPr>
      <w:r>
        <w:rPr>
          <w:rFonts w:hint="eastAsia"/>
          <w:sz w:val="24"/>
        </w:rPr>
        <w:t>无</w:t>
      </w:r>
    </w:p>
    <w:p>
      <w:pPr>
        <w:rPr>
          <w:sz w:val="24"/>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tabs>
          <w:tab w:val="left" w:pos="6901"/>
        </w:tabs>
        <w:ind w:right="21" w:rightChars="10"/>
        <w:rPr>
          <w:sz w:val="24"/>
          <w:lang w:val="fr-FR"/>
        </w:rPr>
      </w:pPr>
      <w:r>
        <w:rPr>
          <w:rFonts w:hint="eastAsia"/>
          <w:sz w:val="24"/>
          <w:lang w:val="fr-FR"/>
        </w:rPr>
        <w:t>AAA-10200059-02</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r>
        <w:rPr>
          <w:rFonts w:hint="eastAsia"/>
          <w:sz w:val="24"/>
          <w:lang w:val="fr-FR"/>
        </w:rPr>
        <w:t>场地：洁净车间</w:t>
      </w:r>
    </w:p>
    <w:p>
      <w:pPr>
        <w:adjustRightInd w:val="0"/>
        <w:snapToGrid w:val="0"/>
        <w:rPr>
          <w:sz w:val="24"/>
        </w:rPr>
      </w:pPr>
      <w:r>
        <w:rPr>
          <w:sz w:val="24"/>
          <w:lang w:val="fr-FR"/>
        </w:rPr>
        <w:t>环境：</w:t>
      </w:r>
      <w:r>
        <w:rPr>
          <w:rFonts w:hint="eastAsia"/>
          <w:sz w:val="24"/>
          <w:lang w:val="fr-FR"/>
        </w:rPr>
        <w:t>温度：2</w:t>
      </w:r>
      <w:r>
        <w:rPr>
          <w:sz w:val="24"/>
          <w:lang w:val="fr-FR"/>
        </w:rPr>
        <w:t>2</w:t>
      </w:r>
      <w:r>
        <w:rPr>
          <w:rFonts w:hint="eastAsia"/>
          <w:sz w:val="24"/>
          <w:lang w:val="fr-FR"/>
        </w:rPr>
        <w:t>±</w:t>
      </w:r>
      <w:r>
        <w:rPr>
          <w:sz w:val="24"/>
          <w:lang w:val="fr-FR"/>
        </w:rPr>
        <w:t>4</w:t>
      </w:r>
      <w:r>
        <w:rPr>
          <w:rFonts w:hint="eastAsia"/>
          <w:sz w:val="24"/>
          <w:lang w:val="fr-FR"/>
        </w:rPr>
        <w:t xml:space="preserve">℃ </w:t>
      </w:r>
      <w:r>
        <w:rPr>
          <w:sz w:val="24"/>
          <w:lang w:val="fr-FR"/>
        </w:rPr>
        <w:t xml:space="preserve">    </w:t>
      </w:r>
      <w:r>
        <w:rPr>
          <w:rFonts w:hint="eastAsia"/>
          <w:sz w:val="24"/>
          <w:lang w:val="fr-FR"/>
        </w:rPr>
        <w:t>湿度：3</w:t>
      </w:r>
      <w:r>
        <w:rPr>
          <w:sz w:val="24"/>
          <w:lang w:val="fr-FR"/>
        </w:rPr>
        <w:t>0</w:t>
      </w:r>
      <w:r>
        <w:rPr>
          <w:rFonts w:hint="eastAsia"/>
          <w:sz w:val="24"/>
          <w:lang w:val="fr-FR"/>
        </w:rPr>
        <w:t>%～6</w:t>
      </w:r>
      <w:r>
        <w:rPr>
          <w:sz w:val="24"/>
          <w:lang w:val="fr-FR"/>
        </w:rPr>
        <w:t>0</w:t>
      </w:r>
      <w:r>
        <w:rPr>
          <w:rFonts w:hint="eastAsia"/>
          <w:sz w:val="24"/>
          <w:lang w:val="fr-FR"/>
        </w:rPr>
        <w:t>%</w:t>
      </w:r>
      <w:r>
        <w:rPr>
          <w:rFonts w:asciiTheme="majorEastAsia" w:hAnsiTheme="majorEastAsia" w:eastAsiaTheme="majorEastAsia"/>
          <w:sz w:val="24"/>
          <w:lang w:val="fr-FR"/>
        </w:rPr>
        <w:t>RH</w:t>
      </w:r>
    </w:p>
    <w:p>
      <w:pPr>
        <w:ind w:right="132" w:rightChars="63"/>
        <w:rPr>
          <w:sz w:val="24"/>
          <w:lang w:val="fr-FR"/>
        </w:rPr>
      </w:pP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rFonts w:hint="eastAsia"/>
          <w:sz w:val="24"/>
          <w:lang w:val="fr-FR"/>
        </w:rPr>
      </w:pPr>
      <w:r>
        <w:rPr>
          <w:rFonts w:hint="eastAsia"/>
          <w:sz w:val="24"/>
          <w:lang w:val="fr-FR"/>
        </w:rPr>
        <w:t>附图：</w:t>
      </w:r>
    </w:p>
    <w:p>
      <w:pPr>
        <w:ind w:right="-153" w:rightChars="-73"/>
        <w:rPr>
          <w:rFonts w:hint="eastAsia" w:eastAsia="宋体"/>
          <w:lang w:eastAsia="zh-CN"/>
        </w:rPr>
      </w:pPr>
      <w:r>
        <w:rPr>
          <w:rFonts w:hint="eastAsia" w:eastAsia="宋体"/>
          <w:lang w:eastAsia="zh-CN"/>
        </w:rPr>
        <w:drawing>
          <wp:inline distT="0" distB="0" distL="114300" distR="114300">
            <wp:extent cx="4099560" cy="3076575"/>
            <wp:effectExtent l="0" t="0" r="15240" b="9525"/>
            <wp:docPr id="8" name="图片 8" descr="f00e799b58ce66de9aa02e32e19e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00e799b58ce66de9aa02e32e19eca2"/>
                    <pic:cNvPicPr>
                      <a:picLocks noChangeAspect="1"/>
                    </pic:cNvPicPr>
                  </pic:nvPicPr>
                  <pic:blipFill>
                    <a:blip r:embed="rId7"/>
                    <a:stretch>
                      <a:fillRect/>
                    </a:stretch>
                  </pic:blipFill>
                  <pic:spPr>
                    <a:xfrm>
                      <a:off x="0" y="0"/>
                      <a:ext cx="4099560" cy="307657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4078605" cy="3059430"/>
            <wp:effectExtent l="0" t="0" r="17145" b="7620"/>
            <wp:docPr id="7" name="图片 7" descr="069a0983c749f4c6a9e4b606c10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69a0983c749f4c6a9e4b606c108132"/>
                    <pic:cNvPicPr>
                      <a:picLocks noChangeAspect="1"/>
                    </pic:cNvPicPr>
                  </pic:nvPicPr>
                  <pic:blipFill>
                    <a:blip r:embed="rId8"/>
                    <a:stretch>
                      <a:fillRect/>
                    </a:stretch>
                  </pic:blipFill>
                  <pic:spPr>
                    <a:xfrm>
                      <a:off x="0" y="0"/>
                      <a:ext cx="4078605" cy="3059430"/>
                    </a:xfrm>
                    <a:prstGeom prst="rect">
                      <a:avLst/>
                    </a:prstGeom>
                  </pic:spPr>
                </pic:pic>
              </a:graphicData>
            </a:graphic>
          </wp:inline>
        </w:drawing>
      </w:r>
    </w:p>
    <w:p>
      <w:pPr>
        <w:ind w:right="-153" w:rightChars="-73"/>
        <w:rPr>
          <w:sz w:val="24"/>
          <w:lang w:val="fr-FR"/>
        </w:rPr>
      </w:pPr>
      <w:r>
        <w:rPr>
          <w:rFonts w:hint="eastAsia"/>
          <w:lang w:val="en-US" w:eastAsia="zh-CN"/>
        </w:rPr>
        <w:t xml:space="preserve">      </w:t>
      </w: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rPr>
              <w:t>2</w:t>
            </w:r>
            <w:r>
              <w:rPr>
                <w:sz w:val="24"/>
              </w:rPr>
              <w:t>02</w:t>
            </w:r>
            <w:r>
              <w:rPr>
                <w:rFonts w:hint="eastAsia"/>
                <w:sz w:val="24"/>
                <w:lang w:val="en-US" w:eastAsia="zh-CN"/>
              </w:rPr>
              <w:t>2</w:t>
            </w:r>
            <w:r>
              <w:rPr>
                <w:sz w:val="24"/>
              </w:rPr>
              <w:t>-</w:t>
            </w:r>
            <w:r>
              <w:rPr>
                <w:rFonts w:hint="eastAsia"/>
                <w:sz w:val="24"/>
                <w:lang w:val="en-US" w:eastAsia="zh-CN"/>
              </w:rPr>
              <w:t>03</w:t>
            </w:r>
            <w:r>
              <w:rPr>
                <w:sz w:val="24"/>
              </w:rPr>
              <w:t>-</w:t>
            </w:r>
            <w:r>
              <w:rPr>
                <w:rFonts w:hint="eastAsia"/>
                <w:sz w:val="24"/>
                <w:lang w:val="en-US" w:eastAsia="zh-CN"/>
              </w:rPr>
              <w:t>07</w:t>
            </w:r>
          </w:p>
        </w:tc>
        <w:tc>
          <w:tcPr>
            <w:tcW w:w="715" w:type="pct"/>
            <w:vAlign w:val="center"/>
          </w:tcPr>
          <w:p>
            <w:pPr>
              <w:jc w:val="center"/>
              <w:rPr>
                <w:rFonts w:hint="eastAsia" w:eastAsia="宋体"/>
                <w:sz w:val="24"/>
                <w:lang w:eastAsia="zh-CN"/>
              </w:rPr>
            </w:pPr>
            <w:r>
              <w:rPr>
                <w:rFonts w:hint="eastAsia"/>
                <w:sz w:val="24"/>
                <w:lang w:val="en-US" w:eastAsia="zh-CN"/>
              </w:rPr>
              <w:t>王垒</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520" w:firstLineChars="900"/>
            <w:jc w:val="both"/>
            <w:rPr>
              <w:rFonts w:ascii="黑体" w:hAnsi="黑体" w:eastAsia="黑体"/>
              <w:sz w:val="28"/>
              <w:szCs w:val="28"/>
            </w:rPr>
          </w:pPr>
          <w:r>
            <w:rPr>
              <w:rFonts w:hint="eastAsia" w:ascii="黑体" w:hAnsi="黑体" w:eastAsia="黑体"/>
              <w:sz w:val="28"/>
              <w:szCs w:val="28"/>
              <w:lang w:val="en-US" w:eastAsia="zh-CN"/>
            </w:rPr>
            <w:t>床旁驱动</w:t>
          </w:r>
          <w:r>
            <w:rPr>
              <w:rFonts w:hint="eastAsia" w:ascii="黑体" w:hAnsi="黑体" w:eastAsia="黑体"/>
              <w:sz w:val="28"/>
              <w:szCs w:val="28"/>
            </w:rPr>
            <w:t>板质量标准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sz w:val="24"/>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color w:val="FF0000"/>
              <w:sz w:val="18"/>
              <w:szCs w:val="21"/>
            </w:rPr>
          </w:pPr>
          <w:r>
            <w:rPr>
              <w:rFonts w:hint="eastAsia"/>
              <w:sz w:val="21"/>
              <w:szCs w:val="21"/>
              <w:lang w:val="en-US" w:eastAsia="zh-CN"/>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102000</w:t>
          </w:r>
          <w:r>
            <w:rPr>
              <w:rFonts w:hint="eastAsia"/>
              <w:sz w:val="21"/>
              <w:szCs w:val="21"/>
              <w:lang w:val="en-US" w:eastAsia="zh-CN"/>
            </w:rPr>
            <w:t>59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520" w:firstLineChars="900"/>
            <w:jc w:val="both"/>
            <w:rPr>
              <w:rFonts w:ascii="黑体" w:hAnsi="黑体" w:eastAsia="黑体"/>
              <w:sz w:val="28"/>
              <w:szCs w:val="28"/>
            </w:rPr>
          </w:pPr>
          <w:r>
            <w:rPr>
              <w:rFonts w:hint="eastAsia" w:ascii="黑体" w:hAnsi="黑体" w:eastAsia="黑体"/>
              <w:sz w:val="28"/>
              <w:szCs w:val="28"/>
              <w:lang w:val="en-US" w:eastAsia="zh-CN"/>
            </w:rPr>
            <w:t>床旁驱动</w:t>
          </w:r>
          <w:r>
            <w:rPr>
              <w:rFonts w:hint="eastAsia" w:ascii="黑体" w:hAnsi="黑体" w:eastAsia="黑体"/>
              <w:sz w:val="28"/>
              <w:szCs w:val="28"/>
            </w:rPr>
            <w:t>板质量标准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sz w:val="24"/>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default" w:eastAsia="宋体"/>
              <w:sz w:val="18"/>
              <w:szCs w:val="21"/>
              <w:lang w:val="en-US" w:eastAsia="zh-CN"/>
            </w:rPr>
          </w:pPr>
          <w:r>
            <w:rPr>
              <w:rFonts w:hint="eastAsia"/>
              <w:sz w:val="21"/>
              <w:szCs w:val="21"/>
              <w:lang w:val="en-US" w:eastAsia="zh-CN"/>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102000</w:t>
          </w:r>
          <w:r>
            <w:rPr>
              <w:rFonts w:hint="eastAsia"/>
              <w:sz w:val="21"/>
              <w:szCs w:val="21"/>
              <w:lang w:val="en-US" w:eastAsia="zh-CN"/>
            </w:rPr>
            <w:t>59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608A6"/>
    <w:multiLevelType w:val="multilevel"/>
    <w:tmpl w:val="38960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NTQyMjZjNTRhMGY5MDQ5MjJjZWJjNWM1M2MwZTYifQ=="/>
  </w:docVars>
  <w:rsids>
    <w:rsidRoot w:val="00033570"/>
    <w:rsid w:val="00001491"/>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A47A9"/>
    <w:rsid w:val="000B3AD2"/>
    <w:rsid w:val="000B3F5D"/>
    <w:rsid w:val="000C3052"/>
    <w:rsid w:val="000C4359"/>
    <w:rsid w:val="000D31CB"/>
    <w:rsid w:val="000D7864"/>
    <w:rsid w:val="000E2BC1"/>
    <w:rsid w:val="000E57CF"/>
    <w:rsid w:val="000F246E"/>
    <w:rsid w:val="000F6F96"/>
    <w:rsid w:val="00121856"/>
    <w:rsid w:val="00121A5B"/>
    <w:rsid w:val="00134986"/>
    <w:rsid w:val="0015330D"/>
    <w:rsid w:val="0015385F"/>
    <w:rsid w:val="00164FA8"/>
    <w:rsid w:val="00165176"/>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016F"/>
    <w:rsid w:val="00335CD6"/>
    <w:rsid w:val="00343EDE"/>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5005"/>
    <w:rsid w:val="003C71B9"/>
    <w:rsid w:val="003E1E71"/>
    <w:rsid w:val="003E3D85"/>
    <w:rsid w:val="003E4555"/>
    <w:rsid w:val="00401B74"/>
    <w:rsid w:val="00402FD1"/>
    <w:rsid w:val="00403C7A"/>
    <w:rsid w:val="004041C9"/>
    <w:rsid w:val="004109AD"/>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37E7"/>
    <w:rsid w:val="004D4C1B"/>
    <w:rsid w:val="004E0DAF"/>
    <w:rsid w:val="004E2FBB"/>
    <w:rsid w:val="004E7C00"/>
    <w:rsid w:val="004F1A71"/>
    <w:rsid w:val="005139F4"/>
    <w:rsid w:val="00513A0F"/>
    <w:rsid w:val="00513FB4"/>
    <w:rsid w:val="00521CE0"/>
    <w:rsid w:val="00523D33"/>
    <w:rsid w:val="0052417F"/>
    <w:rsid w:val="00525AA6"/>
    <w:rsid w:val="00533530"/>
    <w:rsid w:val="005417AC"/>
    <w:rsid w:val="0054387B"/>
    <w:rsid w:val="00545968"/>
    <w:rsid w:val="00546AC2"/>
    <w:rsid w:val="005522A2"/>
    <w:rsid w:val="005655EB"/>
    <w:rsid w:val="00574430"/>
    <w:rsid w:val="00577F37"/>
    <w:rsid w:val="00586240"/>
    <w:rsid w:val="00586E06"/>
    <w:rsid w:val="00587CC2"/>
    <w:rsid w:val="00587EDB"/>
    <w:rsid w:val="00591925"/>
    <w:rsid w:val="005920ED"/>
    <w:rsid w:val="005A0859"/>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2070"/>
    <w:rsid w:val="006E5D0E"/>
    <w:rsid w:val="006F1256"/>
    <w:rsid w:val="006F6D7C"/>
    <w:rsid w:val="0070653E"/>
    <w:rsid w:val="00706862"/>
    <w:rsid w:val="00710EAD"/>
    <w:rsid w:val="00720D76"/>
    <w:rsid w:val="00721F4F"/>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04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81879"/>
    <w:rsid w:val="0099194D"/>
    <w:rsid w:val="0099245A"/>
    <w:rsid w:val="00994DE4"/>
    <w:rsid w:val="00997485"/>
    <w:rsid w:val="009A06FE"/>
    <w:rsid w:val="009A1FBB"/>
    <w:rsid w:val="009A3FB2"/>
    <w:rsid w:val="009B0F28"/>
    <w:rsid w:val="009C00B0"/>
    <w:rsid w:val="009C17A1"/>
    <w:rsid w:val="009C271D"/>
    <w:rsid w:val="009C27F5"/>
    <w:rsid w:val="009C608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CC8"/>
    <w:rsid w:val="00B23BF0"/>
    <w:rsid w:val="00B34B6E"/>
    <w:rsid w:val="00B40836"/>
    <w:rsid w:val="00B41B31"/>
    <w:rsid w:val="00B43AD8"/>
    <w:rsid w:val="00B469F4"/>
    <w:rsid w:val="00B5309A"/>
    <w:rsid w:val="00B53EEA"/>
    <w:rsid w:val="00B64C4F"/>
    <w:rsid w:val="00B701B7"/>
    <w:rsid w:val="00B772B4"/>
    <w:rsid w:val="00B80298"/>
    <w:rsid w:val="00B86A69"/>
    <w:rsid w:val="00B907E0"/>
    <w:rsid w:val="00B92F52"/>
    <w:rsid w:val="00B9795A"/>
    <w:rsid w:val="00BA3BF8"/>
    <w:rsid w:val="00BB30D8"/>
    <w:rsid w:val="00BB3646"/>
    <w:rsid w:val="00BC41AC"/>
    <w:rsid w:val="00BE4CC4"/>
    <w:rsid w:val="00BE4DF6"/>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A07D8"/>
    <w:rsid w:val="00CB1CE2"/>
    <w:rsid w:val="00CB2D57"/>
    <w:rsid w:val="00CB73A7"/>
    <w:rsid w:val="00CC5C1A"/>
    <w:rsid w:val="00CD7705"/>
    <w:rsid w:val="00CF28D0"/>
    <w:rsid w:val="00CF3C35"/>
    <w:rsid w:val="00D12F01"/>
    <w:rsid w:val="00D16429"/>
    <w:rsid w:val="00D16A53"/>
    <w:rsid w:val="00D17565"/>
    <w:rsid w:val="00D2100B"/>
    <w:rsid w:val="00D33639"/>
    <w:rsid w:val="00D3741E"/>
    <w:rsid w:val="00D43CCB"/>
    <w:rsid w:val="00D43E6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01CC1A40"/>
    <w:rsid w:val="01D86637"/>
    <w:rsid w:val="022B2C0A"/>
    <w:rsid w:val="038C592B"/>
    <w:rsid w:val="052D6C99"/>
    <w:rsid w:val="05404C1F"/>
    <w:rsid w:val="06293905"/>
    <w:rsid w:val="06500B9D"/>
    <w:rsid w:val="06732DD2"/>
    <w:rsid w:val="088F5575"/>
    <w:rsid w:val="08D85E8F"/>
    <w:rsid w:val="09FB1114"/>
    <w:rsid w:val="0A40121D"/>
    <w:rsid w:val="0BE34556"/>
    <w:rsid w:val="0C8C0749"/>
    <w:rsid w:val="0CEA1D1E"/>
    <w:rsid w:val="0DEB1705"/>
    <w:rsid w:val="0E507C0F"/>
    <w:rsid w:val="108B7452"/>
    <w:rsid w:val="11BF511D"/>
    <w:rsid w:val="12745F08"/>
    <w:rsid w:val="12FE11BE"/>
    <w:rsid w:val="156A4304"/>
    <w:rsid w:val="169E79F7"/>
    <w:rsid w:val="18F25DD8"/>
    <w:rsid w:val="18F27B86"/>
    <w:rsid w:val="192341E3"/>
    <w:rsid w:val="1B8B36E7"/>
    <w:rsid w:val="1EEE0DF0"/>
    <w:rsid w:val="1F114ADE"/>
    <w:rsid w:val="20322F5E"/>
    <w:rsid w:val="2070733A"/>
    <w:rsid w:val="20F12E19"/>
    <w:rsid w:val="21EB431D"/>
    <w:rsid w:val="22B43BD6"/>
    <w:rsid w:val="238C6E29"/>
    <w:rsid w:val="24A87C93"/>
    <w:rsid w:val="24D90223"/>
    <w:rsid w:val="25292B82"/>
    <w:rsid w:val="255120D8"/>
    <w:rsid w:val="27B76782"/>
    <w:rsid w:val="281C69CE"/>
    <w:rsid w:val="2A7E571E"/>
    <w:rsid w:val="2AD20EC5"/>
    <w:rsid w:val="2B8C5C18"/>
    <w:rsid w:val="2D686211"/>
    <w:rsid w:val="2F461D96"/>
    <w:rsid w:val="2FAD2601"/>
    <w:rsid w:val="32364B30"/>
    <w:rsid w:val="32B57373"/>
    <w:rsid w:val="337C2A16"/>
    <w:rsid w:val="341C1B03"/>
    <w:rsid w:val="34983880"/>
    <w:rsid w:val="360311CD"/>
    <w:rsid w:val="36965B9D"/>
    <w:rsid w:val="37691DC5"/>
    <w:rsid w:val="379A790F"/>
    <w:rsid w:val="389208CF"/>
    <w:rsid w:val="38A5656B"/>
    <w:rsid w:val="38EA0422"/>
    <w:rsid w:val="3B057795"/>
    <w:rsid w:val="3DBA03C3"/>
    <w:rsid w:val="3E027FBC"/>
    <w:rsid w:val="3EC82FB3"/>
    <w:rsid w:val="41F12821"/>
    <w:rsid w:val="43B753A5"/>
    <w:rsid w:val="460F771A"/>
    <w:rsid w:val="46DC16B9"/>
    <w:rsid w:val="47394A4E"/>
    <w:rsid w:val="48E77452"/>
    <w:rsid w:val="4968161B"/>
    <w:rsid w:val="496C3B52"/>
    <w:rsid w:val="49867CF3"/>
    <w:rsid w:val="499B780C"/>
    <w:rsid w:val="4A7367C4"/>
    <w:rsid w:val="4A743FEF"/>
    <w:rsid w:val="4BA34B8C"/>
    <w:rsid w:val="4C1C66ED"/>
    <w:rsid w:val="4C2832E3"/>
    <w:rsid w:val="4CC64C4D"/>
    <w:rsid w:val="4D5C1497"/>
    <w:rsid w:val="4F9C3DCC"/>
    <w:rsid w:val="504A37B4"/>
    <w:rsid w:val="504E35F6"/>
    <w:rsid w:val="52DC6BD6"/>
    <w:rsid w:val="530E3233"/>
    <w:rsid w:val="53753C27"/>
    <w:rsid w:val="5391176E"/>
    <w:rsid w:val="54703A7A"/>
    <w:rsid w:val="56723AD9"/>
    <w:rsid w:val="56BF4844"/>
    <w:rsid w:val="57FB6739"/>
    <w:rsid w:val="5A306FA3"/>
    <w:rsid w:val="5A6D6497"/>
    <w:rsid w:val="5A8D7133"/>
    <w:rsid w:val="5B61411C"/>
    <w:rsid w:val="5D380EAD"/>
    <w:rsid w:val="5DED6745"/>
    <w:rsid w:val="63E662DA"/>
    <w:rsid w:val="66552ACF"/>
    <w:rsid w:val="68174156"/>
    <w:rsid w:val="68323AEB"/>
    <w:rsid w:val="694F7CAA"/>
    <w:rsid w:val="69B31FE7"/>
    <w:rsid w:val="6A2B09DE"/>
    <w:rsid w:val="6B075B21"/>
    <w:rsid w:val="6BAB07F3"/>
    <w:rsid w:val="6CDE2550"/>
    <w:rsid w:val="6DEE183F"/>
    <w:rsid w:val="6E3B6A4F"/>
    <w:rsid w:val="6ECD3B4B"/>
    <w:rsid w:val="6F3B6D06"/>
    <w:rsid w:val="70317AE1"/>
    <w:rsid w:val="70730722"/>
    <w:rsid w:val="7309711B"/>
    <w:rsid w:val="7338355D"/>
    <w:rsid w:val="746740F9"/>
    <w:rsid w:val="74890514"/>
    <w:rsid w:val="769867C6"/>
    <w:rsid w:val="77B43AFA"/>
    <w:rsid w:val="78F61EF0"/>
    <w:rsid w:val="7ABB6F4D"/>
    <w:rsid w:val="7AFE50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665</Words>
  <Characters>1101</Characters>
  <Lines>10</Lines>
  <Paragraphs>2</Paragraphs>
  <TotalTime>1</TotalTime>
  <ScaleCrop>false</ScaleCrop>
  <LinksUpToDate>false</LinksUpToDate>
  <CharactersWithSpaces>1166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Justin</cp:lastModifiedBy>
  <cp:lastPrinted>2022-02-28T01:09:00Z</cp:lastPrinted>
  <dcterms:modified xsi:type="dcterms:W3CDTF">2022-06-27T06:34:29Z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A88ECC2B44B8410E887F117C2EE7BEE8</vt:lpwstr>
  </property>
</Properties>
</file>