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898"/>
        <w:gridCol w:w="4917"/>
        <w:gridCol w:w="2651"/>
        <w:gridCol w:w="2228"/>
        <w:gridCol w:w="1429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0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0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外观无明显划伤，磕碰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限位开关外观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见第八条附表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限位开关</w:t>
            </w:r>
            <w:r>
              <w:rPr>
                <w:rFonts w:hint="eastAsia"/>
                <w:sz w:val="24"/>
              </w:rPr>
              <w:t>产品</w:t>
            </w:r>
            <w:r>
              <w:rPr>
                <w:rFonts w:hint="eastAsia"/>
                <w:sz w:val="24"/>
                <w:lang w:val="en-US" w:eastAsia="zh-CN"/>
              </w:rPr>
              <w:t>型号。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功能测试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功能正常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万用表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使用万用表，打到蜂鸣档，用万用表测NO和C，按下铁片，蜂鸣器响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</w:tbl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2. 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无</w:t>
      </w:r>
    </w:p>
    <w:p>
      <w:pPr>
        <w:rPr>
          <w:rFonts w:hint="eastAsia" w:ascii="黑体" w:hAnsi="黑体" w:eastAsia="黑体"/>
          <w:sz w:val="24"/>
          <w:lang w:val="en-US" w:eastAsia="zh-CN"/>
        </w:rPr>
      </w:pP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sz w:val="24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tabs>
          <w:tab w:val="left" w:pos="6901"/>
        </w:tabs>
        <w:ind w:right="21" w:rightChars="10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  <w:lang w:val="fr-FR"/>
        </w:rPr>
        <w:t>无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fr-FR"/>
        </w:rPr>
        <w:t>附</w:t>
      </w:r>
      <w:r>
        <w:rPr>
          <w:rFonts w:hint="eastAsia"/>
          <w:sz w:val="24"/>
          <w:lang w:val="en-US" w:eastAsia="zh-CN"/>
        </w:rPr>
        <w:t>表：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149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6" w:type="dxa"/>
          </w:tcPr>
          <w:p>
            <w:pPr>
              <w:ind w:right="-153" w:rightChars="-7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1490" w:type="dxa"/>
          </w:tcPr>
          <w:p>
            <w:pPr>
              <w:ind w:right="-153" w:rightChars="-7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物料号</w:t>
            </w:r>
          </w:p>
        </w:tc>
        <w:tc>
          <w:tcPr>
            <w:tcW w:w="1560" w:type="dxa"/>
          </w:tcPr>
          <w:p>
            <w:pPr>
              <w:ind w:right="-153" w:rightChars="-7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规格/型号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6" w:type="dxa"/>
          </w:tcPr>
          <w:p>
            <w:pPr>
              <w:ind w:right="-153" w:rightChars="-7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限位开关</w:t>
            </w:r>
          </w:p>
        </w:tc>
        <w:tc>
          <w:tcPr>
            <w:tcW w:w="1490" w:type="dxa"/>
            <w:vAlign w:val="center"/>
          </w:tcPr>
          <w:p>
            <w:pPr>
              <w:ind w:right="-153" w:rightChars="-73"/>
              <w:jc w:val="center"/>
              <w:rPr>
                <w:rFonts w:hint="eastAsia"/>
                <w:sz w:val="24"/>
                <w:vertAlign w:val="baseline"/>
                <w:lang w:val="fr-FR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10200063</w:t>
            </w:r>
          </w:p>
        </w:tc>
        <w:tc>
          <w:tcPr>
            <w:tcW w:w="1560" w:type="dxa"/>
          </w:tcPr>
          <w:p>
            <w:pPr>
              <w:ind w:right="-153" w:rightChars="-7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SS-5GL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6" w:type="dxa"/>
          </w:tcPr>
          <w:p>
            <w:pPr>
              <w:ind w:right="-153" w:rightChars="-7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限位开关-带滚轮</w:t>
            </w:r>
          </w:p>
        </w:tc>
        <w:tc>
          <w:tcPr>
            <w:tcW w:w="1490" w:type="dxa"/>
            <w:vAlign w:val="center"/>
          </w:tcPr>
          <w:p>
            <w:pPr>
              <w:ind w:right="-153" w:rightChars="-73"/>
              <w:jc w:val="center"/>
              <w:rPr>
                <w:rFonts w:hint="eastAsia"/>
                <w:sz w:val="24"/>
                <w:vertAlign w:val="baseline"/>
                <w:lang w:val="fr-FR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10200289</w:t>
            </w:r>
          </w:p>
        </w:tc>
        <w:tc>
          <w:tcPr>
            <w:tcW w:w="1560" w:type="dxa"/>
          </w:tcPr>
          <w:p>
            <w:pPr>
              <w:ind w:right="-153" w:rightChars="-7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SS-5GL2-F</w:t>
            </w:r>
          </w:p>
        </w:tc>
      </w:tr>
    </w:tbl>
    <w:p>
      <w:pPr>
        <w:ind w:right="-153" w:rightChars="-73"/>
        <w:rPr>
          <w:rFonts w:hint="eastAsia"/>
          <w:sz w:val="24"/>
          <w:lang w:val="fr-FR" w:eastAsia="zh-CN"/>
        </w:rPr>
      </w:pPr>
    </w:p>
    <w:p>
      <w:pPr>
        <w:ind w:right="-153" w:rightChars="-73"/>
        <w:rPr>
          <w:rFonts w:hint="eastAsia"/>
          <w:sz w:val="24"/>
          <w:lang w:val="fr-FR"/>
        </w:rPr>
      </w:pPr>
    </w:p>
    <w:p>
      <w:pPr>
        <w:ind w:right="-153" w:rightChars="-73"/>
        <w:rPr>
          <w:rFonts w:hint="eastAsia" w:eastAsia="宋体"/>
          <w:sz w:val="24"/>
          <w:lang w:val="fr-FR" w:eastAsia="zh-CN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2021-11-17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叶万利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删除检验流程单证资料</w:t>
            </w:r>
          </w:p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第8项附表中新增一个物料（</w:t>
            </w:r>
            <w:r>
              <w:rPr>
                <w:rFonts w:hint="eastAsia"/>
                <w:sz w:val="24"/>
                <w:vertAlign w:val="baseline"/>
                <w:lang w:val="en-US" w:eastAsia="zh-CN"/>
              </w:rPr>
              <w:t>限位开关-带滚轮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新增检验流程第4项功能测试</w:t>
            </w:r>
          </w:p>
        </w:tc>
      </w:tr>
    </w:tbl>
    <w:p>
      <w:pPr>
        <w:ind w:right="-153" w:rightChars="-73"/>
        <w:rPr>
          <w:lang w:val="fr-FR"/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限位开关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211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color w:val="FF0000"/>
              <w:sz w:val="18"/>
              <w:szCs w:val="21"/>
              <w:lang w:val="en-US"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见附表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color w:val="auto"/>
        <w:sz w:val="28"/>
        <w:szCs w:val="28"/>
      </w:rPr>
    </w:pPr>
    <w:r>
      <w:rPr>
        <w:color w:val="auto"/>
        <w:sz w:val="22"/>
        <w:szCs w:val="28"/>
      </w:rPr>
      <w:t xml:space="preserve">Shanghai </w:t>
    </w:r>
    <w:r>
      <w:rPr>
        <w:color w:val="auto"/>
        <w:sz w:val="24"/>
      </w:rPr>
      <w:t>ShenJi</w:t>
    </w:r>
    <w:r>
      <w:rPr>
        <w:color w:val="auto"/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限位开关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211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18"/>
              <w:szCs w:val="21"/>
              <w:lang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见附表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01491"/>
    <w:rsid w:val="00003FF2"/>
    <w:rsid w:val="0002051D"/>
    <w:rsid w:val="00020977"/>
    <w:rsid w:val="00025F66"/>
    <w:rsid w:val="00025F83"/>
    <w:rsid w:val="0003210B"/>
    <w:rsid w:val="00032FC2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3950"/>
    <w:rsid w:val="000744C8"/>
    <w:rsid w:val="00076AE4"/>
    <w:rsid w:val="00077853"/>
    <w:rsid w:val="00080FD4"/>
    <w:rsid w:val="00081CF1"/>
    <w:rsid w:val="00097872"/>
    <w:rsid w:val="000A1A4C"/>
    <w:rsid w:val="000A3E2E"/>
    <w:rsid w:val="000B3AD2"/>
    <w:rsid w:val="000B3F5D"/>
    <w:rsid w:val="000C3052"/>
    <w:rsid w:val="000C4359"/>
    <w:rsid w:val="000D5F73"/>
    <w:rsid w:val="000D7864"/>
    <w:rsid w:val="000E2BC1"/>
    <w:rsid w:val="000E57CF"/>
    <w:rsid w:val="000F246E"/>
    <w:rsid w:val="000F6F96"/>
    <w:rsid w:val="00121856"/>
    <w:rsid w:val="00121A5B"/>
    <w:rsid w:val="00134986"/>
    <w:rsid w:val="00141284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38C3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E77E7"/>
    <w:rsid w:val="002F73F0"/>
    <w:rsid w:val="003015CB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80CA8"/>
    <w:rsid w:val="00383D1C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3F30C2"/>
    <w:rsid w:val="00401B74"/>
    <w:rsid w:val="00402A0B"/>
    <w:rsid w:val="00402FD1"/>
    <w:rsid w:val="00403C7A"/>
    <w:rsid w:val="004041C9"/>
    <w:rsid w:val="004109AD"/>
    <w:rsid w:val="00413A6F"/>
    <w:rsid w:val="004179C6"/>
    <w:rsid w:val="00425A5F"/>
    <w:rsid w:val="004327DF"/>
    <w:rsid w:val="00453E47"/>
    <w:rsid w:val="004558F0"/>
    <w:rsid w:val="00464FAA"/>
    <w:rsid w:val="004655FC"/>
    <w:rsid w:val="00475EB1"/>
    <w:rsid w:val="004837D6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0C43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31D7D"/>
    <w:rsid w:val="005417AC"/>
    <w:rsid w:val="0054387B"/>
    <w:rsid w:val="00545968"/>
    <w:rsid w:val="00546AC2"/>
    <w:rsid w:val="005522A2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A5575"/>
    <w:rsid w:val="005B275F"/>
    <w:rsid w:val="005B3BC0"/>
    <w:rsid w:val="005B67A9"/>
    <w:rsid w:val="005C1F9F"/>
    <w:rsid w:val="005C6E0B"/>
    <w:rsid w:val="005D07E5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5EA6"/>
    <w:rsid w:val="00656EEC"/>
    <w:rsid w:val="006605A3"/>
    <w:rsid w:val="006611E1"/>
    <w:rsid w:val="0066282E"/>
    <w:rsid w:val="006764AB"/>
    <w:rsid w:val="006812D9"/>
    <w:rsid w:val="006836FA"/>
    <w:rsid w:val="00684F1D"/>
    <w:rsid w:val="006A1645"/>
    <w:rsid w:val="006B2663"/>
    <w:rsid w:val="006B325E"/>
    <w:rsid w:val="006B59D6"/>
    <w:rsid w:val="006B5EF0"/>
    <w:rsid w:val="006C40AD"/>
    <w:rsid w:val="006D440D"/>
    <w:rsid w:val="006E5D0E"/>
    <w:rsid w:val="006F1256"/>
    <w:rsid w:val="006F6D7C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46210"/>
    <w:rsid w:val="00851919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76C3"/>
    <w:rsid w:val="00942C82"/>
    <w:rsid w:val="0094412C"/>
    <w:rsid w:val="00944402"/>
    <w:rsid w:val="00950946"/>
    <w:rsid w:val="00951243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3AD8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28F4"/>
    <w:rsid w:val="00C27178"/>
    <w:rsid w:val="00C27CD1"/>
    <w:rsid w:val="00C30664"/>
    <w:rsid w:val="00C34047"/>
    <w:rsid w:val="00C44386"/>
    <w:rsid w:val="00C446E7"/>
    <w:rsid w:val="00C5333A"/>
    <w:rsid w:val="00C536DC"/>
    <w:rsid w:val="00C805D0"/>
    <w:rsid w:val="00C81324"/>
    <w:rsid w:val="00C90DCD"/>
    <w:rsid w:val="00C95071"/>
    <w:rsid w:val="00C96E4D"/>
    <w:rsid w:val="00C97021"/>
    <w:rsid w:val="00CB1CE2"/>
    <w:rsid w:val="00CB73A7"/>
    <w:rsid w:val="00CC5C1A"/>
    <w:rsid w:val="00CD7705"/>
    <w:rsid w:val="00CF3C35"/>
    <w:rsid w:val="00D12F01"/>
    <w:rsid w:val="00D16429"/>
    <w:rsid w:val="00D16A53"/>
    <w:rsid w:val="00D17565"/>
    <w:rsid w:val="00D2100B"/>
    <w:rsid w:val="00D22BCC"/>
    <w:rsid w:val="00D2324F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767C7"/>
    <w:rsid w:val="00D91A2B"/>
    <w:rsid w:val="00D938E5"/>
    <w:rsid w:val="00D945E8"/>
    <w:rsid w:val="00DA26EF"/>
    <w:rsid w:val="00DC4753"/>
    <w:rsid w:val="00DD3154"/>
    <w:rsid w:val="00DD3C4F"/>
    <w:rsid w:val="00DF2543"/>
    <w:rsid w:val="00DF33E0"/>
    <w:rsid w:val="00E029A9"/>
    <w:rsid w:val="00E0505E"/>
    <w:rsid w:val="00E05DB4"/>
    <w:rsid w:val="00E05DC0"/>
    <w:rsid w:val="00E07069"/>
    <w:rsid w:val="00E162D6"/>
    <w:rsid w:val="00E20B13"/>
    <w:rsid w:val="00E22408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1E3B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0DC1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85AFD"/>
    <w:rsid w:val="00F96098"/>
    <w:rsid w:val="00F97269"/>
    <w:rsid w:val="00FA1F5C"/>
    <w:rsid w:val="00FA7DF4"/>
    <w:rsid w:val="00FB7707"/>
    <w:rsid w:val="00FC0B90"/>
    <w:rsid w:val="00FC14BC"/>
    <w:rsid w:val="00FC2BAF"/>
    <w:rsid w:val="00FE13CE"/>
    <w:rsid w:val="00FE2647"/>
    <w:rsid w:val="00FE3D3A"/>
    <w:rsid w:val="00FE5812"/>
    <w:rsid w:val="00FF0DE6"/>
    <w:rsid w:val="00FF0FEF"/>
    <w:rsid w:val="00FF535C"/>
    <w:rsid w:val="00FF6B26"/>
    <w:rsid w:val="091D0CBA"/>
    <w:rsid w:val="091F7A0B"/>
    <w:rsid w:val="09F23401"/>
    <w:rsid w:val="125347E8"/>
    <w:rsid w:val="1874224B"/>
    <w:rsid w:val="227B2DE8"/>
    <w:rsid w:val="34E52182"/>
    <w:rsid w:val="3CAF566C"/>
    <w:rsid w:val="3FDE74A4"/>
    <w:rsid w:val="46CB0F12"/>
    <w:rsid w:val="46DC16B9"/>
    <w:rsid w:val="46EB25F7"/>
    <w:rsid w:val="4D730EAF"/>
    <w:rsid w:val="504E35F6"/>
    <w:rsid w:val="50D9270D"/>
    <w:rsid w:val="570A3A2C"/>
    <w:rsid w:val="59E23278"/>
    <w:rsid w:val="5BAD78ED"/>
    <w:rsid w:val="5DCD50F4"/>
    <w:rsid w:val="5DEF0A59"/>
    <w:rsid w:val="5FFF77CD"/>
    <w:rsid w:val="63F14530"/>
    <w:rsid w:val="65845240"/>
    <w:rsid w:val="691153CC"/>
    <w:rsid w:val="694A4D89"/>
    <w:rsid w:val="747D614D"/>
    <w:rsid w:val="7C1C5E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4</Pages>
  <Words>609</Words>
  <Characters>1051</Characters>
  <Lines>8</Lines>
  <Paragraphs>2</Paragraphs>
  <TotalTime>0</TotalTime>
  <ScaleCrop>false</ScaleCrop>
  <LinksUpToDate>false</LinksUpToDate>
  <CharactersWithSpaces>1101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2022-11-15T06:40:00Z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6C4A538F31984F77A0F5680265BAAF5F</vt:lpwstr>
  </property>
</Properties>
</file>