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bookmarkStart w:id="0" w:name="_GoBack"/>
      <w:bookmarkEnd w:id="0"/>
    </w:p>
    <w:tbl>
      <w:tblPr>
        <w:tblStyle w:val="10"/>
        <w:tblpPr w:leftFromText="180" w:rightFromText="180" w:vertAnchor="text" w:tblpXSpec="center" w:tblpY="1"/>
        <w:tblOverlap w:val="never"/>
        <w:tblW w:w="498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1895"/>
        <w:gridCol w:w="4836"/>
        <w:gridCol w:w="2423"/>
        <w:gridCol w:w="2388"/>
        <w:gridCol w:w="1295"/>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212"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序号</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No</w:t>
            </w:r>
          </w:p>
        </w:tc>
        <w:tc>
          <w:tcPr>
            <w:tcW w:w="610"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项目</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Item</w:t>
            </w:r>
          </w:p>
        </w:tc>
        <w:tc>
          <w:tcPr>
            <w:tcW w:w="155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接受标准</w:t>
            </w:r>
          </w:p>
          <w:p>
            <w:pPr>
              <w:keepNext w:val="0"/>
              <w:keepLines w:val="0"/>
              <w:suppressLineNumbers w:val="0"/>
              <w:spacing w:before="0" w:beforeAutospacing="0" w:after="0" w:afterAutospacing="0"/>
              <w:ind w:left="0" w:right="0"/>
              <w:jc w:val="center"/>
              <w:rPr>
                <w:rFonts w:hint="default"/>
                <w:sz w:val="24"/>
              </w:rPr>
            </w:pPr>
            <w:r>
              <w:rPr>
                <w:rFonts w:hint="eastAsia"/>
                <w:sz w:val="24"/>
              </w:rPr>
              <w:t>Acceptance Criteria</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w:t>
            </w:r>
            <w:r>
              <w:rPr>
                <w:rFonts w:hint="eastAsia"/>
                <w:sz w:val="24"/>
              </w:rPr>
              <w:t>器具和设备</w:t>
            </w:r>
          </w:p>
          <w:p>
            <w:pPr>
              <w:keepNext w:val="0"/>
              <w:keepLines w:val="0"/>
              <w:suppressLineNumbers w:val="0"/>
              <w:spacing w:before="0" w:beforeAutospacing="0" w:after="0" w:afterAutospacing="0"/>
              <w:ind w:left="0" w:right="0"/>
              <w:jc w:val="center"/>
              <w:rPr>
                <w:rFonts w:hint="default"/>
                <w:sz w:val="24"/>
              </w:rPr>
            </w:pPr>
            <w:r>
              <w:rPr>
                <w:rFonts w:hint="default"/>
                <w:sz w:val="24"/>
              </w:rPr>
              <w:t xml:space="preserve">Test </w:t>
            </w:r>
            <w:r>
              <w:rPr>
                <w:rFonts w:hint="eastAsia"/>
                <w:sz w:val="24"/>
              </w:rPr>
              <w:t>Apparatus and Equipment</w:t>
            </w:r>
          </w:p>
        </w:tc>
        <w:tc>
          <w:tcPr>
            <w:tcW w:w="769"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检测方法</w:t>
            </w:r>
          </w:p>
          <w:p>
            <w:pPr>
              <w:keepNext w:val="0"/>
              <w:keepLines w:val="0"/>
              <w:suppressLineNumbers w:val="0"/>
              <w:spacing w:before="0" w:beforeAutospacing="0" w:after="0" w:afterAutospacing="0"/>
              <w:ind w:left="0" w:right="0"/>
              <w:jc w:val="center"/>
              <w:rPr>
                <w:rFonts w:hint="default"/>
                <w:sz w:val="24"/>
              </w:rPr>
            </w:pPr>
            <w:r>
              <w:rPr>
                <w:rFonts w:hint="default"/>
                <w:sz w:val="24"/>
              </w:rPr>
              <w:t>Test Method</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严重度</w:t>
            </w:r>
          </w:p>
          <w:p>
            <w:pPr>
              <w:keepNext w:val="0"/>
              <w:keepLines w:val="0"/>
              <w:suppressLineNumbers w:val="0"/>
              <w:spacing w:before="0" w:beforeAutospacing="0" w:after="0" w:afterAutospacing="0"/>
              <w:ind w:left="0" w:right="0"/>
              <w:jc w:val="center"/>
              <w:rPr>
                <w:rFonts w:hint="default"/>
                <w:sz w:val="24"/>
              </w:rPr>
            </w:pPr>
            <w:r>
              <w:rPr>
                <w:rFonts w:hint="default"/>
                <w:sz w:val="24"/>
              </w:rPr>
              <w:t>Severity</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抽样方案</w:t>
            </w:r>
          </w:p>
          <w:p>
            <w:pPr>
              <w:keepNext w:val="0"/>
              <w:keepLines w:val="0"/>
              <w:suppressLineNumbers w:val="0"/>
              <w:spacing w:before="0" w:beforeAutospacing="0" w:after="0" w:afterAutospacing="0"/>
              <w:ind w:left="0" w:right="0"/>
              <w:jc w:val="center"/>
              <w:rPr>
                <w:rFonts w:hint="default"/>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w:t>
            </w:r>
          </w:p>
        </w:tc>
        <w:tc>
          <w:tcPr>
            <w:tcW w:w="610" w:type="pct"/>
            <w:vAlign w:val="center"/>
          </w:tcPr>
          <w:p>
            <w:pPr>
              <w:keepNext w:val="0"/>
              <w:keepLines w:val="0"/>
              <w:suppressLineNumbers w:val="0"/>
              <w:spacing w:before="0" w:beforeAutospacing="0" w:after="0" w:afterAutospacing="0"/>
              <w:ind w:left="0" w:right="0" w:firstLine="480" w:firstLineChars="200"/>
              <w:rPr>
                <w:rFonts w:hint="default"/>
                <w:sz w:val="24"/>
              </w:rPr>
            </w:pPr>
            <w:r>
              <w:rPr>
                <w:rFonts w:hint="eastAsia"/>
                <w:sz w:val="24"/>
              </w:rPr>
              <w:t>外观</w:t>
            </w:r>
          </w:p>
        </w:tc>
        <w:tc>
          <w:tcPr>
            <w:tcW w:w="1557" w:type="pct"/>
            <w:vAlign w:val="center"/>
          </w:tcPr>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外观无明显划伤，磕碰</w:t>
            </w:r>
          </w:p>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丝印标签正清晰</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eastAsia="宋体"/>
                <w:sz w:val="24"/>
                <w:lang w:val="en-US" w:eastAsia="zh-CN"/>
              </w:rPr>
            </w:pPr>
            <w:r>
              <w:rPr>
                <w:rFonts w:hint="eastAsia"/>
                <w:sz w:val="24"/>
              </w:rPr>
              <w:t>目视检查</w:t>
            </w:r>
            <w:r>
              <w:rPr>
                <w:rFonts w:hint="eastAsia"/>
                <w:sz w:val="24"/>
                <w:lang w:val="en-US" w:eastAsia="zh-CN"/>
              </w:rPr>
              <w:t>急停按钮</w:t>
            </w:r>
            <w:r>
              <w:rPr>
                <w:rFonts w:hint="eastAsia"/>
                <w:sz w:val="24"/>
              </w:rPr>
              <w:t>外观和标签</w:t>
            </w:r>
            <w:r>
              <w:rPr>
                <w:rFonts w:hint="eastAsia"/>
                <w:sz w:val="24"/>
                <w:lang w:val="en-US" w:eastAsia="zh-CN"/>
              </w:rPr>
              <w:t>.是否有破损</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sz w:val="24"/>
                <w:highlight w:val="yellow"/>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2</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产品描述</w:t>
            </w:r>
          </w:p>
        </w:tc>
        <w:tc>
          <w:tcPr>
            <w:tcW w:w="1557" w:type="pct"/>
            <w:vAlign w:val="center"/>
          </w:tcPr>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rPr>
              <w:t>规格型号</w:t>
            </w:r>
            <w:r>
              <w:rPr>
                <w:rFonts w:hint="eastAsia"/>
                <w:sz w:val="24"/>
                <w:lang w:eastAsia="zh-CN"/>
              </w:rPr>
              <w:t>；</w:t>
            </w:r>
            <w:r>
              <w:rPr>
                <w:rFonts w:hint="default"/>
                <w:sz w:val="24"/>
              </w:rPr>
              <w:t>A165E-</w:t>
            </w:r>
            <w:r>
              <w:rPr>
                <w:rFonts w:hint="eastAsia"/>
                <w:sz w:val="24"/>
                <w:lang w:val="en-US" w:eastAsia="zh-CN"/>
              </w:rPr>
              <w:t>S-02</w:t>
            </w:r>
          </w:p>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rPr>
              <w:t>品牌：</w:t>
            </w:r>
            <w:r>
              <w:rPr>
                <w:rFonts w:hint="eastAsia"/>
                <w:sz w:val="24"/>
                <w:lang w:val="en-US" w:eastAsia="zh-CN"/>
              </w:rPr>
              <w:t>OMRON</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eastAsia="宋体"/>
                <w:sz w:val="24"/>
                <w:lang w:val="en-US" w:eastAsia="zh-CN"/>
              </w:rPr>
            </w:pPr>
            <w:r>
              <w:rPr>
                <w:rFonts w:hint="eastAsia"/>
                <w:sz w:val="24"/>
              </w:rPr>
              <w:t>目视检查</w:t>
            </w:r>
            <w:r>
              <w:rPr>
                <w:rFonts w:hint="eastAsia"/>
                <w:sz w:val="24"/>
                <w:lang w:val="en-US" w:eastAsia="zh-CN"/>
              </w:rPr>
              <w:t>包装袋上急停按钮</w:t>
            </w:r>
            <w:r>
              <w:rPr>
                <w:rFonts w:hint="eastAsia"/>
                <w:sz w:val="24"/>
              </w:rPr>
              <w:t>产品标签</w:t>
            </w:r>
            <w:r>
              <w:rPr>
                <w:rFonts w:hint="default"/>
                <w:sz w:val="24"/>
              </w:rPr>
              <w:t>。</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首检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3</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产品包装</w:t>
            </w:r>
          </w:p>
        </w:tc>
        <w:tc>
          <w:tcPr>
            <w:tcW w:w="1557"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在每P</w:t>
            </w:r>
            <w:r>
              <w:rPr>
                <w:rFonts w:hint="default"/>
                <w:sz w:val="24"/>
              </w:rPr>
              <w:t>CS</w:t>
            </w:r>
            <w:r>
              <w:rPr>
                <w:rFonts w:hint="eastAsia"/>
                <w:sz w:val="24"/>
              </w:rPr>
              <w:t>产品外增加包装保护，防止产品在运输过程中受损</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目视检查产品包装是否满足要求，产品是否受损。</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4</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单证资料</w:t>
            </w:r>
          </w:p>
        </w:tc>
        <w:tc>
          <w:tcPr>
            <w:tcW w:w="1557"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需提供</w:t>
            </w:r>
            <w:r>
              <w:rPr>
                <w:rFonts w:hint="eastAsia"/>
                <w:sz w:val="24"/>
                <w:lang w:val="en-US" w:eastAsia="zh-CN"/>
              </w:rPr>
              <w:t>CE认证。</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pStyle w:val="8"/>
              <w:keepNext w:val="0"/>
              <w:keepLines w:val="0"/>
              <w:suppressLineNumbers w:val="0"/>
              <w:spacing w:before="0" w:after="0"/>
              <w:ind w:left="0" w:right="0"/>
              <w:rPr>
                <w:rFonts w:hint="default" w:ascii="宋体" w:hAnsi="宋体" w:eastAsia="宋体" w:cs="宋体"/>
                <w:lang w:val="en-US" w:eastAsia="zh-CN"/>
              </w:rPr>
            </w:pPr>
            <w:r>
              <w:rPr>
                <w:rFonts w:hint="eastAsia" w:ascii="宋体" w:hAnsi="宋体" w:cs="宋体"/>
                <w:lang w:val="en-US" w:eastAsia="zh-CN"/>
              </w:rPr>
              <w:t>目视产品是否提供CE认证。</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A</w:t>
            </w:r>
          </w:p>
        </w:tc>
        <w:tc>
          <w:tcPr>
            <w:tcW w:w="651"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首检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5" w:hRule="atLeast"/>
        </w:trPr>
        <w:tc>
          <w:tcPr>
            <w:tcW w:w="212"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5</w:t>
            </w:r>
          </w:p>
        </w:tc>
        <w:tc>
          <w:tcPr>
            <w:tcW w:w="610" w:type="pct"/>
            <w:vAlign w:val="center"/>
          </w:tcPr>
          <w:p>
            <w:pPr>
              <w:keepNext w:val="0"/>
              <w:keepLines w:val="0"/>
              <w:numPr>
                <w:ilvl w:val="0"/>
                <w:numId w:val="0"/>
              </w:numPr>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sz w:val="24"/>
                <w:lang w:val="en-US" w:eastAsia="zh-CN"/>
              </w:rPr>
              <w:t>功能测试</w:t>
            </w:r>
          </w:p>
        </w:tc>
        <w:tc>
          <w:tcPr>
            <w:tcW w:w="1557" w:type="pct"/>
            <w:vAlign w:val="center"/>
          </w:tcPr>
          <w:p>
            <w:pPr>
              <w:pStyle w:val="18"/>
              <w:keepNext w:val="0"/>
              <w:keepLines w:val="0"/>
              <w:numPr>
                <w:ilvl w:val="0"/>
                <w:numId w:val="4"/>
              </w:numPr>
              <w:suppressLineNumbers w:val="0"/>
              <w:adjustRightInd w:val="0"/>
              <w:snapToGrid w:val="0"/>
              <w:spacing w:before="0" w:beforeAutospacing="0" w:after="0" w:afterAutospacing="0"/>
              <w:ind w:left="420" w:leftChars="0" w:right="0" w:hanging="420" w:firstLineChars="0"/>
              <w:rPr>
                <w:rFonts w:hint="default" w:eastAsia="宋体"/>
                <w:sz w:val="24"/>
                <w:lang w:val="en-US" w:eastAsia="zh-CN"/>
              </w:rPr>
            </w:pPr>
            <w:r>
              <w:rPr>
                <w:rFonts w:hint="eastAsia"/>
                <w:sz w:val="24"/>
                <w:lang w:val="en-US" w:eastAsia="zh-CN"/>
              </w:rPr>
              <w:t>测试按钮无功能异常，能正常通断。</w:t>
            </w:r>
          </w:p>
        </w:tc>
        <w:tc>
          <w:tcPr>
            <w:tcW w:w="780"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目视+万用表</w:t>
            </w:r>
          </w:p>
        </w:tc>
        <w:tc>
          <w:tcPr>
            <w:tcW w:w="769" w:type="pct"/>
            <w:vAlign w:val="center"/>
          </w:tcPr>
          <w:p>
            <w:pPr>
              <w:pStyle w:val="8"/>
              <w:keepNext w:val="0"/>
              <w:keepLines w:val="0"/>
              <w:suppressLineNumbers w:val="0"/>
              <w:spacing w:before="0" w:after="0"/>
              <w:ind w:left="0" w:leftChars="0" w:right="0"/>
              <w:jc w:val="both"/>
              <w:rPr>
                <w:rFonts w:hint="default"/>
                <w:lang w:val="en-US" w:eastAsia="zh-CN"/>
              </w:rPr>
            </w:pPr>
            <w:r>
              <w:rPr>
                <w:rFonts w:hint="eastAsia"/>
                <w:lang w:val="en-US" w:eastAsia="zh-CN"/>
              </w:rPr>
              <w:t>用万用表蜂鸣档.L+NC端与L-NC端测试是否蜂鸣导通.将急停按钮按下万用表蜂鸣档是否截止.两组测试均正常通断</w:t>
            </w:r>
          </w:p>
        </w:tc>
        <w:tc>
          <w:tcPr>
            <w:tcW w:w="417"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A</w:t>
            </w:r>
          </w:p>
        </w:tc>
        <w:tc>
          <w:tcPr>
            <w:tcW w:w="651" w:type="pct"/>
            <w:vAlign w:val="center"/>
          </w:tcPr>
          <w:p>
            <w:pPr>
              <w:keepNext w:val="0"/>
              <w:keepLines w:val="0"/>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numPr>
          <w:ilvl w:val="0"/>
          <w:numId w:val="0"/>
        </w:numPr>
        <w:ind w:leftChars="0"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rPr>
          <w:rFonts w:hint="eastAsia"/>
          <w:sz w:val="24"/>
          <w:lang w:val="en-US" w:eastAsia="zh-CN"/>
        </w:rPr>
      </w:pPr>
      <w:r>
        <w:rPr>
          <w:rFonts w:hint="eastAsia"/>
          <w:sz w:val="24"/>
          <w:lang w:val="en-US" w:eastAsia="zh-CN"/>
        </w:rPr>
        <w:t>CE认证</w:t>
      </w:r>
    </w:p>
    <w:p>
      <w:pPr>
        <w:rPr>
          <w:rFonts w:hint="default"/>
          <w:sz w:val="24"/>
          <w:lang w:val="en-US" w:eastAsia="zh-CN"/>
        </w:rPr>
      </w:pPr>
    </w:p>
    <w:p>
      <w:pPr>
        <w:rPr>
          <w:rFonts w:hint="eastAsia" w:ascii="黑体" w:hAnsi="黑体" w:eastAsia="黑体"/>
          <w:sz w:val="24"/>
          <w:lang w:val="fr-FR"/>
        </w:rPr>
      </w:pPr>
    </w:p>
    <w:p>
      <w:pPr>
        <w:rPr>
          <w:rFonts w:hint="eastAsia" w:ascii="黑体" w:hAnsi="黑体" w:eastAsia="黑体"/>
          <w:sz w:val="24"/>
          <w:lang w:val="fr-FR"/>
        </w:rPr>
      </w:pPr>
    </w:p>
    <w:p>
      <w:pPr>
        <w:rPr>
          <w:rFonts w:hint="eastAsia"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adjustRightInd w:val="0"/>
        <w:snapToGrid w:val="0"/>
        <w:rPr>
          <w:rFonts w:hint="default"/>
          <w:sz w:val="24"/>
          <w:lang w:val="en-US" w:eastAsia="zh-CN"/>
        </w:rPr>
      </w:pPr>
      <w:r>
        <w:rPr>
          <w:rFonts w:hint="eastAsia"/>
          <w:sz w:val="24"/>
          <w:lang w:val="en-US" w:eastAsia="zh-CN"/>
        </w:rPr>
        <w:t>1.  洁净车间</w:t>
      </w:r>
    </w:p>
    <w:p>
      <w:pPr>
        <w:adjustRightInd w:val="0"/>
        <w:snapToGrid w:val="0"/>
        <w:rPr>
          <w:rFonts w:hint="default" w:eastAsia="宋体"/>
          <w:sz w:val="24"/>
          <w:lang w:val="en-US" w:eastAsia="zh-CN"/>
        </w:rPr>
      </w:pPr>
      <w:r>
        <w:rPr>
          <w:rFonts w:hint="eastAsia"/>
          <w:sz w:val="24"/>
          <w:lang w:val="en-US" w:eastAsia="zh-CN"/>
        </w:rPr>
        <w:t>2.  环境温度  25°CRH温度   40±10%</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显示货物名称、数量等信息。</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rFonts w:hint="eastAsia"/>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rPr>
          <w:rFonts w:hint="eastAsia"/>
          <w:sz w:val="24"/>
          <w:lang w:val="en-US" w:eastAsia="zh-CN"/>
        </w:rPr>
      </w:pPr>
    </w:p>
    <w:p>
      <w:pPr>
        <w:ind w:right="-153" w:rightChars="-73"/>
        <w:rPr>
          <w:rFonts w:hint="eastAsia"/>
          <w:sz w:val="24"/>
          <w:lang w:val="en-US" w:eastAsia="zh-CN"/>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ascii="黑体" w:hAnsi="黑体" w:eastAsia="黑体"/>
          <w:sz w:val="24"/>
          <w:lang w:val="en-US" w:eastAsia="zh-CN"/>
        </w:rPr>
      </w:pPr>
    </w:p>
    <w:p>
      <w:pPr>
        <w:numPr>
          <w:ilvl w:val="0"/>
          <w:numId w:val="0"/>
        </w:numPr>
        <w:ind w:right="132" w:rightChars="63"/>
        <w:rPr>
          <w:rFonts w:hint="eastAsia"/>
          <w:sz w:val="24"/>
          <w:lang w:val="fr-FR"/>
        </w:rPr>
      </w:pPr>
      <w:r>
        <w:rPr>
          <w:rFonts w:hint="eastAsia" w:ascii="黑体" w:hAnsi="黑体" w:eastAsia="黑体"/>
          <w:sz w:val="24"/>
          <w:lang w:val="en-US" w:eastAsia="zh-CN"/>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rFonts w:hint="default"/>
          <w:sz w:val="24"/>
          <w:szCs w:val="32"/>
          <w:lang w:val="en-US" w:eastAsia="zh-CN"/>
        </w:rPr>
      </w:pPr>
      <w:r>
        <w:rPr>
          <w:rFonts w:hint="eastAsia"/>
          <w:sz w:val="24"/>
          <w:szCs w:val="32"/>
          <w:lang w:val="en-US" w:eastAsia="zh-CN"/>
        </w:rPr>
        <w:t>无</w:t>
      </w: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编制人Compiled by</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标准化Controlled by</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质量工程师或质量经理审核</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Review by QA Engineer or QA Manager r</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项目经理批准</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Approved by PM</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期Date</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r>
              <w:rPr>
                <w:rFonts w:hint="default" w:ascii="Times" w:hAnsi="Times" w:eastAsiaTheme="minorEastAsia"/>
                <w:sz w:val="24"/>
                <w:lang w:val="fr-FR"/>
              </w:rPr>
              <w:t>Date</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供应商名称</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Supplier name</w:t>
            </w: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部门</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Department</w:t>
            </w: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职务</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Duty</w:t>
            </w: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确认人/确认日期</w:t>
            </w:r>
          </w:p>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Confirmed by</w:t>
            </w:r>
            <w:r>
              <w:rPr>
                <w:rFonts w:hint="default"/>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r>
    </w:tbl>
    <w:p>
      <w:pPr>
        <w:ind w:right="-153" w:rightChars="-73"/>
        <w:rPr>
          <w:color w:val="FF0000"/>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版本</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Version</w:t>
            </w:r>
          </w:p>
        </w:tc>
        <w:tc>
          <w:tcPr>
            <w:tcW w:w="81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编写日期</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Compiled Date</w:t>
            </w:r>
          </w:p>
        </w:tc>
        <w:tc>
          <w:tcPr>
            <w:tcW w:w="715"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编制人</w:t>
            </w:r>
          </w:p>
          <w:p>
            <w:pPr>
              <w:keepNext w:val="0"/>
              <w:keepLines w:val="0"/>
              <w:suppressLineNumbers w:val="0"/>
              <w:spacing w:before="0" w:beforeAutospacing="0" w:after="0" w:afterAutospacing="0"/>
              <w:ind w:left="0" w:right="0"/>
              <w:jc w:val="center"/>
              <w:rPr>
                <w:rFonts w:hint="default" w:ascii="Times" w:hAnsi="Times"/>
                <w:sz w:val="24"/>
              </w:rPr>
            </w:pPr>
            <w:r>
              <w:rPr>
                <w:rFonts w:hint="default"/>
              </w:rPr>
              <w:fldChar w:fldCharType="begin"/>
            </w:r>
            <w:r>
              <w:rPr>
                <w:rFonts w:hint="default"/>
              </w:rPr>
              <w:instrText xml:space="preserve"> HYPERLINK "javascript:;" </w:instrText>
            </w:r>
            <w:r>
              <w:rPr>
                <w:rFonts w:hint="default"/>
              </w:rPr>
              <w:fldChar w:fldCharType="separate"/>
            </w:r>
            <w:r>
              <w:rPr>
                <w:rFonts w:hint="default"/>
                <w:sz w:val="24"/>
              </w:rPr>
              <w:t>Editor</w:t>
            </w:r>
            <w:r>
              <w:rPr>
                <w:rFonts w:hint="default"/>
                <w:sz w:val="24"/>
              </w:rPr>
              <w:fldChar w:fldCharType="end"/>
            </w:r>
          </w:p>
        </w:tc>
        <w:tc>
          <w:tcPr>
            <w:tcW w:w="2654"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变更内容</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 xml:space="preserve">A </w:t>
            </w:r>
          </w:p>
        </w:tc>
        <w:tc>
          <w:tcPr>
            <w:tcW w:w="813"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rPr>
              <w:t>2</w:t>
            </w:r>
            <w:r>
              <w:rPr>
                <w:rFonts w:hint="default"/>
                <w:sz w:val="24"/>
              </w:rPr>
              <w:t>022-02-15</w:t>
            </w:r>
          </w:p>
        </w:tc>
        <w:tc>
          <w:tcPr>
            <w:tcW w:w="715" w:type="pct"/>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rPr>
              <w:t>武军</w:t>
            </w:r>
          </w:p>
        </w:tc>
        <w:tc>
          <w:tcPr>
            <w:tcW w:w="2654" w:type="pct"/>
            <w:shd w:val="clear" w:color="auto" w:fill="auto"/>
            <w:vAlign w:val="center"/>
          </w:tcPr>
          <w:p>
            <w:pPr>
              <w:keepNext w:val="0"/>
              <w:keepLines w:val="0"/>
              <w:suppressLineNumbers w:val="0"/>
              <w:spacing w:before="0" w:beforeAutospacing="0" w:after="0" w:afterAutospacing="0"/>
              <w:ind w:left="0" w:right="0"/>
              <w:jc w:val="center"/>
              <w:rPr>
                <w:rFonts w:hint="eastAsia"/>
                <w:sz w:val="24"/>
              </w:rPr>
            </w:pPr>
            <w:r>
              <w:rPr>
                <w:rFonts w:hint="default"/>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B</w:t>
            </w:r>
          </w:p>
        </w:tc>
        <w:tc>
          <w:tcPr>
            <w:tcW w:w="813"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2022-11-22</w:t>
            </w:r>
          </w:p>
        </w:tc>
        <w:tc>
          <w:tcPr>
            <w:tcW w:w="715"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刘海龙</w:t>
            </w:r>
          </w:p>
        </w:tc>
        <w:tc>
          <w:tcPr>
            <w:tcW w:w="2654" w:type="pct"/>
            <w:shd w:val="clear" w:color="auto" w:fill="auto"/>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default" w:eastAsia="宋体"/>
                <w:sz w:val="24"/>
                <w:lang w:val="en-US" w:eastAsia="zh-CN"/>
              </w:rPr>
              <w:t>增加产品功能测试方法</w:t>
            </w:r>
          </w:p>
          <w:p>
            <w:pPr>
              <w:keepNext w:val="0"/>
              <w:keepLines w:val="0"/>
              <w:suppressLineNumbers w:val="0"/>
              <w:spacing w:before="0" w:beforeAutospacing="0" w:after="0" w:afterAutospacing="0"/>
              <w:ind w:left="0" w:right="0"/>
              <w:jc w:val="center"/>
              <w:rPr>
                <w:rFonts w:hint="eastAsia"/>
                <w:sz w:val="24"/>
                <w:lang w:val="en-US" w:eastAsia="zh-CN"/>
              </w:rPr>
            </w:pPr>
            <w:r>
              <w:rPr>
                <w:rFonts w:hint="eastAsia"/>
                <w:sz w:val="24"/>
                <w:lang w:val="en-US" w:eastAsia="zh-CN"/>
              </w:rPr>
              <w:t>增加单证资料;CE认证</w:t>
            </w:r>
          </w:p>
          <w:p>
            <w:pPr>
              <w:keepNext w:val="0"/>
              <w:keepLines w:val="0"/>
              <w:suppressLineNumbers w:val="0"/>
              <w:spacing w:before="0" w:beforeAutospacing="0" w:after="0" w:afterAutospacing="0"/>
              <w:ind w:left="0" w:right="0"/>
              <w:jc w:val="center"/>
              <w:rPr>
                <w:rFonts w:hint="eastAsia"/>
                <w:sz w:val="24"/>
                <w:lang w:val="en-US" w:eastAsia="zh-CN"/>
              </w:rPr>
            </w:pPr>
            <w:r>
              <w:rPr>
                <w:rFonts w:hint="eastAsia"/>
                <w:sz w:val="24"/>
                <w:lang w:val="en-US" w:eastAsia="zh-CN"/>
              </w:rPr>
              <w:t>修改急停按钮规格型号为;A165E-S-02</w:t>
            </w:r>
          </w:p>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default" w:eastAsia="宋体"/>
                <w:sz w:val="24"/>
                <w:lang w:val="en-US" w:eastAsia="zh-CN"/>
              </w:rPr>
              <w:t>增加生产场地和环境要求.  洁净车间.环境温度  25°CRH温度   40±10%</w:t>
            </w:r>
          </w:p>
          <w:p>
            <w:pPr>
              <w:keepNext w:val="0"/>
              <w:keepLines w:val="0"/>
              <w:suppressLineNumbers w:val="0"/>
              <w:spacing w:before="0" w:beforeAutospacing="0" w:after="0" w:afterAutospacing="0"/>
              <w:ind w:left="0" w:right="0"/>
              <w:jc w:val="center"/>
              <w:rPr>
                <w:rFonts w:hint="default"/>
                <w:sz w:val="24"/>
                <w:lang w:val="en-US" w:eastAsia="zh-CN"/>
              </w:rPr>
            </w:pP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firstLine="2800" w:firstLineChars="1000"/>
            <w:rPr>
              <w:rFonts w:hint="default" w:ascii="Arial" w:hAnsi="Arial" w:eastAsia="黑体" w:cs="Arial"/>
              <w:sz w:val="28"/>
              <w:szCs w:val="22"/>
            </w:rPr>
          </w:pPr>
          <w:r>
            <w:rPr>
              <w:rFonts w:hint="default" w:ascii="Arial" w:hAnsi="Arial" w:eastAsia="黑体" w:cs="Arial"/>
              <w:sz w:val="28"/>
              <w:szCs w:val="22"/>
              <w:lang w:val="en-US" w:eastAsia="zh-CN"/>
            </w:rPr>
            <w:t>急停按钮</w:t>
          </w:r>
          <w:r>
            <w:rPr>
              <w:rFonts w:hint="default" w:ascii="Arial" w:hAnsi="Arial" w:eastAsia="黑体" w:cs="Arial"/>
              <w:sz w:val="28"/>
              <w:szCs w:val="22"/>
            </w:rPr>
            <w:t>质量标准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cs="Arial"/>
              <w:sz w:val="28"/>
              <w:szCs w:val="22"/>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AAA-</w:t>
          </w:r>
          <w:r>
            <w:rPr>
              <w:rFonts w:hint="eastAsia"/>
              <w:sz w:val="24"/>
            </w:rPr>
            <w:t>M</w:t>
          </w:r>
          <w:r>
            <w:rPr>
              <w:rFonts w:hint="default"/>
              <w:sz w:val="24"/>
            </w:rPr>
            <w:t>AT-</w:t>
          </w:r>
          <w:r>
            <w:rPr>
              <w:rFonts w:hint="eastAsia"/>
              <w:sz w:val="24"/>
              <w:lang w:val="en-US" w:eastAsia="zh-CN"/>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color w:val="FF0000"/>
              <w:sz w:val="18"/>
              <w:szCs w:val="21"/>
            </w:rPr>
          </w:pPr>
          <w:r>
            <w:rPr>
              <w:rFonts w:hint="default"/>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1020000</w:t>
          </w:r>
          <w:r>
            <w:rPr>
              <w:rFonts w:hint="eastAsia"/>
              <w:sz w:val="24"/>
              <w:lang w:val="en-US" w:eastAsia="zh-CN"/>
            </w:rPr>
            <w:t>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firstLine="2800" w:firstLineChars="1000"/>
            <w:rPr>
              <w:rFonts w:hint="default" w:ascii="Arial" w:hAnsi="Arial" w:eastAsia="黑体" w:cs="Arial"/>
              <w:sz w:val="28"/>
              <w:szCs w:val="22"/>
            </w:rPr>
          </w:pPr>
          <w:r>
            <w:rPr>
              <w:rFonts w:hint="default" w:ascii="Arial" w:hAnsi="Arial" w:eastAsia="黑体" w:cs="Arial"/>
              <w:sz w:val="28"/>
              <w:szCs w:val="22"/>
              <w:lang w:val="en-US" w:eastAsia="zh-CN"/>
            </w:rPr>
            <w:t>急停按钮</w:t>
          </w:r>
          <w:r>
            <w:rPr>
              <w:rFonts w:hint="default" w:ascii="Arial" w:hAnsi="Arial" w:eastAsia="黑体" w:cs="Arial"/>
              <w:sz w:val="28"/>
              <w:szCs w:val="22"/>
            </w:rPr>
            <w:t>质量标准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cs="Arial"/>
              <w:sz w:val="28"/>
              <w:szCs w:val="22"/>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default"/>
              <w:sz w:val="24"/>
            </w:rPr>
            <w:t>AAA-</w:t>
          </w:r>
          <w:r>
            <w:rPr>
              <w:rFonts w:hint="eastAsia"/>
              <w:sz w:val="24"/>
            </w:rPr>
            <w:t>M</w:t>
          </w:r>
          <w:r>
            <w:rPr>
              <w:rFonts w:hint="default"/>
              <w:sz w:val="24"/>
            </w:rPr>
            <w:t>AT-</w:t>
          </w:r>
          <w:r>
            <w:rPr>
              <w:rFonts w:hint="eastAsia"/>
              <w:sz w:val="24"/>
              <w:lang w:val="en-US" w:eastAsia="zh-CN"/>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sz w:val="18"/>
              <w:szCs w:val="21"/>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default"/>
              <w:sz w:val="24"/>
            </w:rPr>
            <w:t>1020000</w:t>
          </w:r>
          <w:r>
            <w:rPr>
              <w:rFonts w:hint="eastAsia"/>
              <w:sz w:val="24"/>
              <w:lang w:val="en-US" w:eastAsia="zh-CN"/>
            </w:rPr>
            <w:t>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3FCD6"/>
    <w:multiLevelType w:val="singleLevel"/>
    <w:tmpl w:val="EEE3FCD6"/>
    <w:lvl w:ilvl="0" w:tentative="0">
      <w:start w:val="1"/>
      <w:numFmt w:val="bullet"/>
      <w:lvlText w:val=""/>
      <w:lvlJc w:val="left"/>
      <w:pPr>
        <w:ind w:left="420" w:hanging="420"/>
      </w:pPr>
      <w:rPr>
        <w:rFonts w:hint="default" w:ascii="Wingdings" w:hAnsi="Wingdings"/>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A97"/>
    <w:rsid w:val="00350FC3"/>
    <w:rsid w:val="00352C45"/>
    <w:rsid w:val="00353153"/>
    <w:rsid w:val="00355FC6"/>
    <w:rsid w:val="003606EB"/>
    <w:rsid w:val="003616BC"/>
    <w:rsid w:val="00363BD3"/>
    <w:rsid w:val="0036516D"/>
    <w:rsid w:val="00380CA8"/>
    <w:rsid w:val="003849A6"/>
    <w:rsid w:val="00385E11"/>
    <w:rsid w:val="003872C8"/>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761"/>
    <w:rsid w:val="00474E50"/>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7E14A7"/>
    <w:rsid w:val="00813FCD"/>
    <w:rsid w:val="00820340"/>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1014"/>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BC8"/>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AF494B"/>
    <w:rsid w:val="00B03E4A"/>
    <w:rsid w:val="00B0677C"/>
    <w:rsid w:val="00B11AA9"/>
    <w:rsid w:val="00B227DE"/>
    <w:rsid w:val="00B22CC8"/>
    <w:rsid w:val="00B23BF0"/>
    <w:rsid w:val="00B34B6E"/>
    <w:rsid w:val="00B40836"/>
    <w:rsid w:val="00B41B31"/>
    <w:rsid w:val="00B43AD8"/>
    <w:rsid w:val="00B469F4"/>
    <w:rsid w:val="00B515BA"/>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3C3F"/>
    <w:rsid w:val="00F23D47"/>
    <w:rsid w:val="00F241C1"/>
    <w:rsid w:val="00F3334D"/>
    <w:rsid w:val="00F36BF1"/>
    <w:rsid w:val="00F40C99"/>
    <w:rsid w:val="00F507F1"/>
    <w:rsid w:val="00F634B9"/>
    <w:rsid w:val="00F74D40"/>
    <w:rsid w:val="00F81C2F"/>
    <w:rsid w:val="00F822C6"/>
    <w:rsid w:val="00F871F4"/>
    <w:rsid w:val="00F96098"/>
    <w:rsid w:val="00F97269"/>
    <w:rsid w:val="00FA1F5C"/>
    <w:rsid w:val="00FA7DF4"/>
    <w:rsid w:val="00FC0B90"/>
    <w:rsid w:val="00FC14BC"/>
    <w:rsid w:val="00FC2BAF"/>
    <w:rsid w:val="00FC56D4"/>
    <w:rsid w:val="00FE13CE"/>
    <w:rsid w:val="00FE2647"/>
    <w:rsid w:val="00FE3D3A"/>
    <w:rsid w:val="00FF0DE6"/>
    <w:rsid w:val="00FF0FEF"/>
    <w:rsid w:val="00FF535C"/>
    <w:rsid w:val="00FF6B26"/>
    <w:rsid w:val="01110171"/>
    <w:rsid w:val="0216614D"/>
    <w:rsid w:val="0C2F779B"/>
    <w:rsid w:val="0F9151A1"/>
    <w:rsid w:val="13C25B83"/>
    <w:rsid w:val="141E042A"/>
    <w:rsid w:val="1A3D7527"/>
    <w:rsid w:val="1DBA6F15"/>
    <w:rsid w:val="1F111512"/>
    <w:rsid w:val="22E51114"/>
    <w:rsid w:val="230C7A3E"/>
    <w:rsid w:val="27A07EB4"/>
    <w:rsid w:val="2FC23EBD"/>
    <w:rsid w:val="308A3DD9"/>
    <w:rsid w:val="31091AB9"/>
    <w:rsid w:val="324A1557"/>
    <w:rsid w:val="342C2930"/>
    <w:rsid w:val="364E66C6"/>
    <w:rsid w:val="3C471954"/>
    <w:rsid w:val="3D9E1778"/>
    <w:rsid w:val="3F497826"/>
    <w:rsid w:val="422E48FC"/>
    <w:rsid w:val="44295F81"/>
    <w:rsid w:val="46191FAE"/>
    <w:rsid w:val="468F4FC0"/>
    <w:rsid w:val="46DC16B9"/>
    <w:rsid w:val="47841A42"/>
    <w:rsid w:val="499A335D"/>
    <w:rsid w:val="4B9A5CD8"/>
    <w:rsid w:val="4E4A7541"/>
    <w:rsid w:val="4F3701D8"/>
    <w:rsid w:val="4F4425D1"/>
    <w:rsid w:val="4F945892"/>
    <w:rsid w:val="504E35F6"/>
    <w:rsid w:val="50C57353"/>
    <w:rsid w:val="50D13F4A"/>
    <w:rsid w:val="53BF5847"/>
    <w:rsid w:val="54AC6ECF"/>
    <w:rsid w:val="552C7514"/>
    <w:rsid w:val="557C4319"/>
    <w:rsid w:val="5BFF4B1B"/>
    <w:rsid w:val="5D6F7A8F"/>
    <w:rsid w:val="5EF03C85"/>
    <w:rsid w:val="5F8C4C2D"/>
    <w:rsid w:val="5FE45244"/>
    <w:rsid w:val="611E74CE"/>
    <w:rsid w:val="62EB3647"/>
    <w:rsid w:val="68085707"/>
    <w:rsid w:val="6C9D2ADA"/>
    <w:rsid w:val="6F4E56DA"/>
    <w:rsid w:val="72850759"/>
    <w:rsid w:val="733A5527"/>
    <w:rsid w:val="77D703BA"/>
    <w:rsid w:val="79CB0C87"/>
    <w:rsid w:val="79E1494E"/>
    <w:rsid w:val="7B646CBA"/>
    <w:rsid w:val="7CF577D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722</Words>
  <Characters>1217</Characters>
  <Lines>8</Lines>
  <Paragraphs>2</Paragraphs>
  <TotalTime>5</TotalTime>
  <ScaleCrop>false</ScaleCrop>
  <LinksUpToDate>false</LinksUpToDate>
  <CharactersWithSpaces>1285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2022-11-29T01:22:18Z</cp:lastPrinted>
  <dcterms:modified xsi:type="dcterms:W3CDTF">2022-11-29T01:27:01Z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EEBEF608F9DB4EDDA390002B8836A371</vt:lpwstr>
  </property>
</Properties>
</file>