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5"/>
        <w:gridCol w:w="3735"/>
        <w:gridCol w:w="2067"/>
        <w:gridCol w:w="2546"/>
        <w:gridCol w:w="1276"/>
        <w:gridCol w:w="3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20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64"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18" w:type="pct"/>
            <w:vAlign w:val="center"/>
          </w:tcPr>
          <w:p>
            <w:pPr>
              <w:jc w:val="center"/>
              <w:rPr>
                <w:sz w:val="24"/>
              </w:rPr>
            </w:pPr>
            <w:r>
              <w:rPr>
                <w:sz w:val="24"/>
              </w:rPr>
              <w:t>检测方法</w:t>
            </w:r>
          </w:p>
          <w:p>
            <w:pPr>
              <w:jc w:val="center"/>
              <w:rPr>
                <w:sz w:val="24"/>
              </w:rPr>
            </w:pPr>
            <w:r>
              <w:rPr>
                <w:sz w:val="24"/>
              </w:rPr>
              <w:t>Test Method</w:t>
            </w:r>
          </w:p>
        </w:tc>
        <w:tc>
          <w:tcPr>
            <w:tcW w:w="410" w:type="pct"/>
            <w:vAlign w:val="center"/>
          </w:tcPr>
          <w:p>
            <w:pPr>
              <w:jc w:val="center"/>
              <w:rPr>
                <w:sz w:val="24"/>
              </w:rPr>
            </w:pPr>
            <w:r>
              <w:rPr>
                <w:rFonts w:hint="eastAsia"/>
                <w:sz w:val="24"/>
              </w:rPr>
              <w:t>严重度</w:t>
            </w:r>
          </w:p>
          <w:p>
            <w:pPr>
              <w:jc w:val="center"/>
              <w:rPr>
                <w:sz w:val="24"/>
              </w:rPr>
            </w:pPr>
            <w:r>
              <w:rPr>
                <w:sz w:val="24"/>
              </w:rPr>
              <w:t>Severity</w:t>
            </w:r>
          </w:p>
        </w:tc>
        <w:tc>
          <w:tcPr>
            <w:tcW w:w="113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200" w:type="pct"/>
            <w:vAlign w:val="center"/>
          </w:tcPr>
          <w:p>
            <w:pPr>
              <w:pStyle w:val="18"/>
              <w:numPr>
                <w:ilvl w:val="0"/>
                <w:numId w:val="0"/>
              </w:numPr>
              <w:adjustRightInd w:val="0"/>
              <w:snapToGrid w:val="0"/>
              <w:ind w:leftChars="0"/>
              <w:jc w:val="center"/>
              <w:rPr>
                <w:rFonts w:hint="default" w:eastAsia="宋体"/>
                <w:color w:val="auto"/>
                <w:sz w:val="24"/>
                <w:lang w:val="en-US" w:eastAsia="zh-CN"/>
              </w:rPr>
            </w:pPr>
            <w:r>
              <w:rPr>
                <w:rFonts w:hint="eastAsia"/>
                <w:color w:val="auto"/>
                <w:sz w:val="24"/>
                <w:lang w:val="en-US" w:eastAsia="zh-CN"/>
              </w:rPr>
              <w:t>无磕碰损坏；</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rPr>
              <w:t>干净无污渍</w:t>
            </w:r>
          </w:p>
        </w:tc>
        <w:tc>
          <w:tcPr>
            <w:tcW w:w="664"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818" w:type="pct"/>
            <w:vAlign w:val="center"/>
          </w:tcPr>
          <w:p>
            <w:pPr>
              <w:jc w:val="center"/>
              <w:rPr>
                <w:rFonts w:hint="default" w:eastAsia="宋体"/>
                <w:color w:val="auto"/>
                <w:sz w:val="24"/>
                <w:lang w:val="en-US" w:eastAsia="zh-CN"/>
              </w:rPr>
            </w:pPr>
            <w:r>
              <w:rPr>
                <w:rFonts w:hint="eastAsia"/>
                <w:sz w:val="24"/>
              </w:rPr>
              <w:t>正常或矫正视力目视</w:t>
            </w:r>
          </w:p>
        </w:tc>
        <w:tc>
          <w:tcPr>
            <w:tcW w:w="410" w:type="pct"/>
            <w:vAlign w:val="top"/>
          </w:tcPr>
          <w:p>
            <w:pPr>
              <w:jc w:val="center"/>
              <w:rPr>
                <w:color w:val="auto"/>
                <w:sz w:val="24"/>
              </w:rPr>
            </w:pPr>
            <w:r>
              <w:rPr>
                <w:rFonts w:hint="eastAsia"/>
                <w:color w:val="auto"/>
                <w:sz w:val="24"/>
                <w:lang w:val="en-US" w:eastAsia="zh-CN"/>
              </w:rPr>
              <w:t>B</w:t>
            </w:r>
          </w:p>
        </w:tc>
        <w:tc>
          <w:tcPr>
            <w:tcW w:w="1134"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default"/>
                <w:color w:val="auto"/>
                <w:sz w:val="24"/>
                <w:lang w:val="en-US" w:eastAsia="zh-CN"/>
              </w:rPr>
            </w:pPr>
            <w:r>
              <w:rPr>
                <w:rFonts w:hint="eastAsia"/>
                <w:color w:val="auto"/>
                <w:sz w:val="24"/>
                <w:lang w:val="en-US" w:eastAsia="zh-CN"/>
              </w:rPr>
              <w:t>2</w:t>
            </w:r>
          </w:p>
        </w:tc>
        <w:tc>
          <w:tcPr>
            <w:tcW w:w="583" w:type="pct"/>
            <w:vAlign w:val="center"/>
          </w:tcPr>
          <w:p>
            <w:pPr>
              <w:jc w:val="center"/>
              <w:rPr>
                <w:rFonts w:hint="default"/>
                <w:color w:val="auto"/>
                <w:sz w:val="24"/>
                <w:lang w:val="en-US" w:eastAsia="zh-CN"/>
              </w:rPr>
            </w:pPr>
            <w:r>
              <w:rPr>
                <w:rFonts w:hint="eastAsia"/>
                <w:color w:val="auto"/>
                <w:sz w:val="24"/>
                <w:lang w:val="en-US" w:eastAsia="zh-CN"/>
              </w:rPr>
              <w:t>尺寸</w:t>
            </w:r>
          </w:p>
        </w:tc>
        <w:tc>
          <w:tcPr>
            <w:tcW w:w="1200" w:type="pct"/>
            <w:vAlign w:val="center"/>
          </w:tcPr>
          <w:p>
            <w:pPr>
              <w:pStyle w:val="18"/>
              <w:numPr>
                <w:ilvl w:val="0"/>
                <w:numId w:val="0"/>
              </w:numPr>
              <w:adjustRightInd w:val="0"/>
              <w:snapToGrid w:val="0"/>
              <w:ind w:leftChars="0"/>
              <w:jc w:val="center"/>
              <w:rPr>
                <w:rFonts w:hint="default"/>
                <w:color w:val="auto"/>
                <w:sz w:val="24"/>
                <w:lang w:val="en-US" w:eastAsia="zh-CN"/>
              </w:rPr>
            </w:pPr>
            <w:r>
              <w:rPr>
                <w:rFonts w:hint="eastAsia"/>
                <w:color w:val="auto"/>
                <w:sz w:val="24"/>
                <w:lang w:val="en-US" w:eastAsia="zh-CN"/>
              </w:rPr>
              <w:t>外形尺寸1140*780*650mm</w:t>
            </w:r>
          </w:p>
        </w:tc>
        <w:tc>
          <w:tcPr>
            <w:tcW w:w="664" w:type="pct"/>
            <w:vAlign w:val="center"/>
          </w:tcPr>
          <w:p>
            <w:pPr>
              <w:jc w:val="center"/>
              <w:rPr>
                <w:rFonts w:hint="default"/>
                <w:color w:val="auto"/>
                <w:sz w:val="24"/>
                <w:lang w:val="en-US" w:eastAsia="zh-CN"/>
              </w:rPr>
            </w:pPr>
            <w:r>
              <w:rPr>
                <w:rFonts w:hint="eastAsia"/>
                <w:color w:val="auto"/>
                <w:sz w:val="24"/>
                <w:lang w:val="en-US" w:eastAsia="zh-CN"/>
              </w:rPr>
              <w:t>卷尺</w:t>
            </w:r>
          </w:p>
        </w:tc>
        <w:tc>
          <w:tcPr>
            <w:tcW w:w="818" w:type="pct"/>
            <w:vAlign w:val="center"/>
          </w:tcPr>
          <w:p>
            <w:pPr>
              <w:jc w:val="center"/>
              <w:rPr>
                <w:rFonts w:hint="eastAsia"/>
                <w:sz w:val="24"/>
              </w:rPr>
            </w:pPr>
            <w:r>
              <w:rPr>
                <w:rFonts w:hint="eastAsia"/>
                <w:sz w:val="24"/>
              </w:rPr>
              <w:t>根据尺寸特点及量具选择定义检测方法</w:t>
            </w:r>
          </w:p>
        </w:tc>
        <w:tc>
          <w:tcPr>
            <w:tcW w:w="410" w:type="pct"/>
            <w:vAlign w:val="top"/>
          </w:tcPr>
          <w:p>
            <w:pPr>
              <w:jc w:val="center"/>
              <w:rPr>
                <w:rFonts w:hint="default"/>
                <w:color w:val="auto"/>
                <w:sz w:val="24"/>
                <w:lang w:val="en-US" w:eastAsia="zh-CN"/>
              </w:rPr>
            </w:pPr>
            <w:r>
              <w:rPr>
                <w:rFonts w:hint="eastAsia"/>
                <w:color w:val="auto"/>
                <w:sz w:val="24"/>
                <w:lang w:val="en-US" w:eastAsia="zh-CN"/>
              </w:rPr>
              <w:t>B</w:t>
            </w:r>
          </w:p>
        </w:tc>
        <w:tc>
          <w:tcPr>
            <w:tcW w:w="1134" w:type="pct"/>
            <w:vAlign w:val="center"/>
          </w:tcPr>
          <w:p>
            <w:pPr>
              <w:jc w:val="center"/>
              <w:rPr>
                <w:rFonts w:hint="eastAsia"/>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tabs>
          <w:tab w:val="left" w:pos="1058"/>
          <w:tab w:val="left" w:pos="1260"/>
        </w:tabs>
        <w:ind w:firstLine="480" w:firstLineChars="200"/>
        <w:rPr>
          <w:rFonts w:hint="eastAsia"/>
          <w:sz w:val="24"/>
          <w:lang w:val="en-US" w:eastAsia="zh-CN"/>
        </w:rPr>
      </w:pPr>
      <w:r>
        <w:rPr>
          <w:rFonts w:hint="eastAsia"/>
          <w:sz w:val="24"/>
          <w:lang w:val="en-US" w:eastAsia="zh-CN"/>
        </w:rPr>
        <w:t>无。</w:t>
      </w:r>
    </w:p>
    <w:p>
      <w:pPr>
        <w:tabs>
          <w:tab w:val="left" w:pos="1058"/>
          <w:tab w:val="left" w:pos="1260"/>
        </w:tabs>
        <w:ind w:firstLine="720" w:firstLineChars="300"/>
        <w:rPr>
          <w:rFonts w:hint="eastAsia"/>
          <w:sz w:val="24"/>
          <w:lang w:val="en-US" w:eastAsia="zh-CN"/>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无。</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删除材料检查项，外观与尺寸抽样方案由全检改为采用GB/T2828.1-2012抽样方案或自定义</w:t>
            </w:r>
            <w:r>
              <w:rPr>
                <w:sz w:val="24"/>
              </w:rPr>
              <w:t>。</w:t>
            </w:r>
            <w:bookmarkStart w:id="0" w:name="_GoBack"/>
            <w:bookmarkEnd w:id="0"/>
          </w:p>
        </w:tc>
      </w:tr>
    </w:tbl>
    <w:p>
      <w:pPr>
        <w:ind w:right="-153" w:rightChars="-73"/>
        <w:rPr>
          <w:lang w:val="fr-FR"/>
        </w:rPr>
      </w:pPr>
    </w:p>
    <w:p>
      <w:pPr>
        <w:bidi w:val="0"/>
        <w:rPr>
          <w:rFonts w:ascii="Times New Roman" w:hAnsi="Times New Roman" w:eastAsia="宋体" w:cs="Times New Roman"/>
          <w:kern w:val="2"/>
          <w:sz w:val="21"/>
          <w:szCs w:val="24"/>
          <w:lang w:val="fr-FR" w:eastAsia="zh-CN" w:bidi="ar-SA"/>
        </w:rPr>
      </w:pPr>
    </w:p>
    <w:p>
      <w:pPr>
        <w:bidi w:val="0"/>
        <w:rPr>
          <w:lang w:val="fr-FR" w:eastAsia="zh-CN"/>
        </w:rPr>
      </w:pPr>
    </w:p>
    <w:p>
      <w:pPr>
        <w:tabs>
          <w:tab w:val="left" w:pos="5413"/>
        </w:tabs>
        <w:bidi w:val="0"/>
        <w:jc w:val="left"/>
        <w:rPr>
          <w:lang w:val="fr-FR" w:eastAsia="zh-CN"/>
        </w:rPr>
      </w:pPr>
      <w:r>
        <w:rPr>
          <w:rFonts w:hint="eastAsia"/>
          <w:lang w:val="fr-FR" w:eastAsia="zh-CN"/>
        </w:rPr>
        <w:tab/>
      </w: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床旁操作系统包装箱</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10800001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床旁操作系统包装箱</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10800001</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355"/>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0A3E22"/>
    <w:rsid w:val="05814872"/>
    <w:rsid w:val="059D26EB"/>
    <w:rsid w:val="05A970E4"/>
    <w:rsid w:val="05CC610A"/>
    <w:rsid w:val="05D33E24"/>
    <w:rsid w:val="062E3E4F"/>
    <w:rsid w:val="06A93A70"/>
    <w:rsid w:val="09076F39"/>
    <w:rsid w:val="09473A76"/>
    <w:rsid w:val="0A65152A"/>
    <w:rsid w:val="0A6D3B99"/>
    <w:rsid w:val="0ABA3F1D"/>
    <w:rsid w:val="0B064E6C"/>
    <w:rsid w:val="0B914A82"/>
    <w:rsid w:val="0C304C60"/>
    <w:rsid w:val="0C5A7553"/>
    <w:rsid w:val="0CFF73C7"/>
    <w:rsid w:val="0DDC549C"/>
    <w:rsid w:val="0E371C64"/>
    <w:rsid w:val="0EF63C07"/>
    <w:rsid w:val="0F4557F8"/>
    <w:rsid w:val="10273ED8"/>
    <w:rsid w:val="11287E5A"/>
    <w:rsid w:val="11BE2DE9"/>
    <w:rsid w:val="11E62704"/>
    <w:rsid w:val="11F42600"/>
    <w:rsid w:val="129E2F84"/>
    <w:rsid w:val="12A17992"/>
    <w:rsid w:val="132C3C3F"/>
    <w:rsid w:val="133826B0"/>
    <w:rsid w:val="140C13FF"/>
    <w:rsid w:val="14FB354C"/>
    <w:rsid w:val="153001B7"/>
    <w:rsid w:val="16435449"/>
    <w:rsid w:val="16603581"/>
    <w:rsid w:val="16B008A9"/>
    <w:rsid w:val="16F34E07"/>
    <w:rsid w:val="17077A75"/>
    <w:rsid w:val="175F759B"/>
    <w:rsid w:val="176B5BFF"/>
    <w:rsid w:val="17E50F9D"/>
    <w:rsid w:val="183445BD"/>
    <w:rsid w:val="183C0DD2"/>
    <w:rsid w:val="1A545A6F"/>
    <w:rsid w:val="1A6509DE"/>
    <w:rsid w:val="1AF76B4C"/>
    <w:rsid w:val="1CEE29F1"/>
    <w:rsid w:val="1CF133EF"/>
    <w:rsid w:val="1EA3376C"/>
    <w:rsid w:val="1EF72C3B"/>
    <w:rsid w:val="1F0B30B5"/>
    <w:rsid w:val="1FBB6672"/>
    <w:rsid w:val="20EB4489"/>
    <w:rsid w:val="21252A05"/>
    <w:rsid w:val="21DC0172"/>
    <w:rsid w:val="2219440B"/>
    <w:rsid w:val="22743FF0"/>
    <w:rsid w:val="232F1A2E"/>
    <w:rsid w:val="23BF27C3"/>
    <w:rsid w:val="2598144F"/>
    <w:rsid w:val="25CE2543"/>
    <w:rsid w:val="260C750F"/>
    <w:rsid w:val="262D20CF"/>
    <w:rsid w:val="273845CE"/>
    <w:rsid w:val="278D09E2"/>
    <w:rsid w:val="27A61B8B"/>
    <w:rsid w:val="27E61803"/>
    <w:rsid w:val="29E37FC4"/>
    <w:rsid w:val="2A524DC0"/>
    <w:rsid w:val="2AA75DDE"/>
    <w:rsid w:val="2ACC40C1"/>
    <w:rsid w:val="2ADA0AF4"/>
    <w:rsid w:val="2B421AC6"/>
    <w:rsid w:val="2BA66C4F"/>
    <w:rsid w:val="2CFC05C2"/>
    <w:rsid w:val="2D1057CD"/>
    <w:rsid w:val="2DDB3CC8"/>
    <w:rsid w:val="2EB504C4"/>
    <w:rsid w:val="2F8A5B16"/>
    <w:rsid w:val="30EA506F"/>
    <w:rsid w:val="30FD2C2C"/>
    <w:rsid w:val="316B3907"/>
    <w:rsid w:val="32777E7D"/>
    <w:rsid w:val="33281C77"/>
    <w:rsid w:val="34830D3F"/>
    <w:rsid w:val="349915DD"/>
    <w:rsid w:val="34BD644B"/>
    <w:rsid w:val="34DB07CA"/>
    <w:rsid w:val="35722936"/>
    <w:rsid w:val="35AD0438"/>
    <w:rsid w:val="35E253E6"/>
    <w:rsid w:val="35FB61A9"/>
    <w:rsid w:val="36F70DBC"/>
    <w:rsid w:val="379C1B36"/>
    <w:rsid w:val="382350DE"/>
    <w:rsid w:val="38584A9D"/>
    <w:rsid w:val="39E26EA0"/>
    <w:rsid w:val="3CAB3899"/>
    <w:rsid w:val="3D320741"/>
    <w:rsid w:val="3DE00F54"/>
    <w:rsid w:val="3E803E6A"/>
    <w:rsid w:val="3EDF47EF"/>
    <w:rsid w:val="3EED5761"/>
    <w:rsid w:val="3F625608"/>
    <w:rsid w:val="3FA114EC"/>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D0319E4"/>
    <w:rsid w:val="4D4A5378"/>
    <w:rsid w:val="4E3C0988"/>
    <w:rsid w:val="4E43218F"/>
    <w:rsid w:val="4FB06B41"/>
    <w:rsid w:val="50147153"/>
    <w:rsid w:val="502C5217"/>
    <w:rsid w:val="504E35F6"/>
    <w:rsid w:val="50B717D0"/>
    <w:rsid w:val="514E190C"/>
    <w:rsid w:val="52132340"/>
    <w:rsid w:val="52753014"/>
    <w:rsid w:val="530D1EB1"/>
    <w:rsid w:val="538175EB"/>
    <w:rsid w:val="53873A0E"/>
    <w:rsid w:val="53994ACE"/>
    <w:rsid w:val="53A87BC6"/>
    <w:rsid w:val="53F137CC"/>
    <w:rsid w:val="54816B1B"/>
    <w:rsid w:val="55107D86"/>
    <w:rsid w:val="55DF0692"/>
    <w:rsid w:val="571C0DD6"/>
    <w:rsid w:val="57815511"/>
    <w:rsid w:val="57871F2F"/>
    <w:rsid w:val="58057745"/>
    <w:rsid w:val="586640DC"/>
    <w:rsid w:val="589A1BC1"/>
    <w:rsid w:val="5915162D"/>
    <w:rsid w:val="59570FAA"/>
    <w:rsid w:val="596F594C"/>
    <w:rsid w:val="5A085622"/>
    <w:rsid w:val="5D5B6129"/>
    <w:rsid w:val="5D97155E"/>
    <w:rsid w:val="5DD20F4D"/>
    <w:rsid w:val="5F8B4880"/>
    <w:rsid w:val="5F90199F"/>
    <w:rsid w:val="605449D5"/>
    <w:rsid w:val="60F57778"/>
    <w:rsid w:val="61294925"/>
    <w:rsid w:val="616C62EE"/>
    <w:rsid w:val="63027EEB"/>
    <w:rsid w:val="632772C3"/>
    <w:rsid w:val="63582B1E"/>
    <w:rsid w:val="63FD2A30"/>
    <w:rsid w:val="64A46DA4"/>
    <w:rsid w:val="65B03081"/>
    <w:rsid w:val="65D07B0C"/>
    <w:rsid w:val="65D51871"/>
    <w:rsid w:val="65DB4AEA"/>
    <w:rsid w:val="66060E4D"/>
    <w:rsid w:val="669F0B08"/>
    <w:rsid w:val="672A351D"/>
    <w:rsid w:val="678B5F6F"/>
    <w:rsid w:val="68E105E2"/>
    <w:rsid w:val="69E62A8E"/>
    <w:rsid w:val="6B16126F"/>
    <w:rsid w:val="6B197ECF"/>
    <w:rsid w:val="6B8C547F"/>
    <w:rsid w:val="6C02205C"/>
    <w:rsid w:val="6C4A1EFB"/>
    <w:rsid w:val="6D05711D"/>
    <w:rsid w:val="6DB36FDC"/>
    <w:rsid w:val="6E6D6A35"/>
    <w:rsid w:val="6F36202D"/>
    <w:rsid w:val="715130D5"/>
    <w:rsid w:val="728D6ED8"/>
    <w:rsid w:val="734C1A44"/>
    <w:rsid w:val="737568C4"/>
    <w:rsid w:val="740710E6"/>
    <w:rsid w:val="75C12EE8"/>
    <w:rsid w:val="76051A38"/>
    <w:rsid w:val="762A5F65"/>
    <w:rsid w:val="76311F84"/>
    <w:rsid w:val="7690676E"/>
    <w:rsid w:val="779E428F"/>
    <w:rsid w:val="79A16344"/>
    <w:rsid w:val="79D165E9"/>
    <w:rsid w:val="79FD7D6C"/>
    <w:rsid w:val="7AE61B9C"/>
    <w:rsid w:val="7B0C50FC"/>
    <w:rsid w:val="7B973168"/>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837</Words>
  <Characters>2131</Characters>
  <Lines>21</Lines>
  <Paragraphs>10</Paragraphs>
  <TotalTime>0</TotalTime>
  <ScaleCrop>false</ScaleCrop>
  <LinksUpToDate>false</LinksUpToDate>
  <CharactersWithSpaces>2354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2022-12-08T02:33:13Z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