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6"/>
        <w:gridCol w:w="1898"/>
        <w:gridCol w:w="4920"/>
        <w:gridCol w:w="2645"/>
        <w:gridCol w:w="1687"/>
        <w:gridCol w:w="1752"/>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1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81"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542" w:type="pct"/>
            <w:vAlign w:val="center"/>
          </w:tcPr>
          <w:p>
            <w:pPr>
              <w:jc w:val="center"/>
              <w:rPr>
                <w:sz w:val="24"/>
              </w:rPr>
            </w:pPr>
            <w:r>
              <w:rPr>
                <w:sz w:val="24"/>
              </w:rPr>
              <w:t>检测方法</w:t>
            </w:r>
          </w:p>
          <w:p>
            <w:pPr>
              <w:jc w:val="center"/>
              <w:rPr>
                <w:sz w:val="24"/>
              </w:rPr>
            </w:pPr>
            <w:r>
              <w:rPr>
                <w:sz w:val="24"/>
              </w:rPr>
              <w:t>Test Method</w:t>
            </w:r>
          </w:p>
        </w:tc>
        <w:tc>
          <w:tcPr>
            <w:tcW w:w="563" w:type="pct"/>
            <w:vAlign w:val="center"/>
          </w:tcPr>
          <w:p>
            <w:pPr>
              <w:jc w:val="center"/>
              <w:rPr>
                <w:sz w:val="24"/>
              </w:rPr>
            </w:pPr>
            <w:r>
              <w:rPr>
                <w:rFonts w:hint="eastAsia"/>
                <w:sz w:val="24"/>
              </w:rPr>
              <w:t>严重度</w:t>
            </w:r>
          </w:p>
          <w:p>
            <w:pPr>
              <w:jc w:val="center"/>
              <w:rPr>
                <w:sz w:val="24"/>
              </w:rPr>
            </w:pPr>
            <w:r>
              <w:rPr>
                <w:sz w:val="24"/>
              </w:rPr>
              <w:t>Severity</w:t>
            </w:r>
          </w:p>
        </w:tc>
        <w:tc>
          <w:tcPr>
            <w:tcW w:w="63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14" w:type="pct"/>
            <w:vAlign w:val="center"/>
          </w:tcPr>
          <w:p>
            <w:pPr>
              <w:jc w:val="center"/>
              <w:rPr>
                <w:rFonts w:ascii="Times New Roman" w:hAnsi="Times New Roman" w:eastAsia="宋体" w:cs="Times New Roman"/>
                <w:kern w:val="2"/>
                <w:sz w:val="24"/>
                <w:szCs w:val="24"/>
                <w:lang w:val="en-US" w:eastAsia="zh-CN" w:bidi="ar-SA"/>
              </w:rPr>
            </w:pPr>
            <w:r>
              <w:rPr>
                <w:sz w:val="24"/>
              </w:rPr>
              <w:t>1</w:t>
            </w:r>
          </w:p>
        </w:tc>
        <w:tc>
          <w:tcPr>
            <w:tcW w:w="610" w:type="pct"/>
            <w:vAlign w:val="center"/>
          </w:tcPr>
          <w:p>
            <w:pPr>
              <w:ind w:firstLine="720" w:firstLineChars="300"/>
              <w:rPr>
                <w:rFonts w:ascii="Times New Roman" w:hAnsi="Times New Roman" w:eastAsia="宋体" w:cs="Times New Roman"/>
                <w:kern w:val="2"/>
                <w:sz w:val="24"/>
                <w:szCs w:val="24"/>
                <w:lang w:val="en-US" w:eastAsia="zh-CN" w:bidi="ar-SA"/>
              </w:rPr>
            </w:pPr>
            <w:r>
              <w:rPr>
                <w:rFonts w:hint="eastAsia"/>
                <w:sz w:val="24"/>
              </w:rPr>
              <w:t>外观</w:t>
            </w:r>
          </w:p>
        </w:tc>
        <w:tc>
          <w:tcPr>
            <w:tcW w:w="1581" w:type="pct"/>
            <w:vAlign w:val="center"/>
          </w:tcPr>
          <w:p>
            <w:pPr>
              <w:pStyle w:val="18"/>
              <w:numPr>
                <w:ilvl w:val="0"/>
                <w:numId w:val="1"/>
              </w:numPr>
              <w:adjustRightInd w:val="0"/>
              <w:snapToGrid w:val="0"/>
              <w:ind w:firstLineChars="0"/>
              <w:rPr>
                <w:rFonts w:ascii="Times New Roman" w:hAnsi="Times New Roman" w:eastAsia="宋体" w:cs="Times New Roman"/>
                <w:kern w:val="2"/>
                <w:sz w:val="24"/>
                <w:szCs w:val="24"/>
                <w:lang w:val="en-US" w:eastAsia="zh-CN" w:bidi="ar-SA"/>
              </w:rPr>
            </w:pPr>
            <w:r>
              <w:rPr>
                <w:rFonts w:hint="eastAsia"/>
                <w:sz w:val="24"/>
              </w:rPr>
              <w:t>外观无明显划伤，</w:t>
            </w:r>
            <w:r>
              <w:rPr>
                <w:rFonts w:hint="eastAsia"/>
                <w:sz w:val="24"/>
                <w:lang w:val="en-US" w:eastAsia="zh-CN"/>
              </w:rPr>
              <w:t>破损</w:t>
            </w:r>
          </w:p>
        </w:tc>
        <w:tc>
          <w:tcPr>
            <w:tcW w:w="850" w:type="pct"/>
            <w:vAlign w:val="center"/>
          </w:tcPr>
          <w:p>
            <w:pPr>
              <w:jc w:val="center"/>
              <w:rPr>
                <w:rFonts w:ascii="Times New Roman" w:hAnsi="Times New Roman" w:eastAsia="宋体" w:cs="Times New Roman"/>
                <w:kern w:val="2"/>
                <w:sz w:val="24"/>
                <w:szCs w:val="24"/>
                <w:lang w:val="en-US" w:eastAsia="zh-CN" w:bidi="ar-SA"/>
              </w:rPr>
            </w:pPr>
            <w:r>
              <w:rPr>
                <w:rFonts w:hint="eastAsia"/>
                <w:sz w:val="24"/>
              </w:rPr>
              <w:t>目视</w:t>
            </w:r>
          </w:p>
        </w:tc>
        <w:tc>
          <w:tcPr>
            <w:tcW w:w="542" w:type="pct"/>
            <w:vAlign w:val="center"/>
          </w:tcPr>
          <w:p>
            <w:pPr>
              <w:rPr>
                <w:rFonts w:ascii="Times New Roman" w:hAnsi="Times New Roman" w:eastAsia="宋体" w:cs="Times New Roman"/>
                <w:kern w:val="2"/>
                <w:sz w:val="24"/>
                <w:szCs w:val="24"/>
                <w:lang w:val="en-US" w:eastAsia="zh-CN" w:bidi="ar-SA"/>
              </w:rPr>
            </w:pPr>
            <w:r>
              <w:rPr>
                <w:rFonts w:hint="eastAsia"/>
                <w:sz w:val="24"/>
              </w:rPr>
              <w:t>目视检查</w:t>
            </w:r>
            <w:r>
              <w:rPr>
                <w:rFonts w:hint="eastAsia"/>
                <w:sz w:val="24"/>
                <w:lang w:val="en-US" w:eastAsia="zh-CN"/>
              </w:rPr>
              <w:t>线束</w:t>
            </w:r>
            <w:r>
              <w:rPr>
                <w:rFonts w:hint="eastAsia"/>
                <w:sz w:val="24"/>
              </w:rPr>
              <w:t>外观</w:t>
            </w:r>
          </w:p>
        </w:tc>
        <w:tc>
          <w:tcPr>
            <w:tcW w:w="563" w:type="pct"/>
            <w:vAlign w:val="center"/>
          </w:tcPr>
          <w:p>
            <w:pPr>
              <w:jc w:val="center"/>
              <w:rPr>
                <w:rFonts w:ascii="Times New Roman" w:hAnsi="Times New Roman" w:eastAsia="宋体" w:cs="Times New Roman"/>
                <w:kern w:val="2"/>
                <w:sz w:val="24"/>
                <w:szCs w:val="24"/>
                <w:lang w:val="en-US" w:eastAsia="zh-CN" w:bidi="ar-SA"/>
              </w:rPr>
            </w:pPr>
            <w:r>
              <w:rPr>
                <w:rFonts w:hint="eastAsia"/>
                <w:sz w:val="24"/>
              </w:rPr>
              <w:t>B</w:t>
            </w:r>
          </w:p>
        </w:tc>
        <w:tc>
          <w:tcPr>
            <w:tcW w:w="637" w:type="pct"/>
            <w:vAlign w:val="center"/>
          </w:tcPr>
          <w:p>
            <w:pPr>
              <w:jc w:val="center"/>
              <w:rPr>
                <w:rFonts w:ascii="Times New Roman" w:hAnsi="Times New Roman" w:eastAsia="宋体" w:cs="Times New Roman"/>
                <w:kern w:val="2"/>
                <w:sz w:val="24"/>
                <w:szCs w:val="24"/>
                <w:highlight w:val="yellow"/>
                <w:lang w:val="en-US" w:eastAsia="zh-CN" w:bidi="ar-SA"/>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4" w:type="pct"/>
            <w:vAlign w:val="center"/>
          </w:tcPr>
          <w:p>
            <w:pPr>
              <w:jc w:val="center"/>
              <w:rPr>
                <w:rFonts w:ascii="Times New Roman" w:hAnsi="Times New Roman" w:eastAsia="宋体" w:cs="Times New Roman"/>
                <w:kern w:val="2"/>
                <w:sz w:val="24"/>
                <w:szCs w:val="24"/>
                <w:lang w:val="en-US" w:eastAsia="zh-CN" w:bidi="ar-SA"/>
              </w:rPr>
            </w:pPr>
            <w:r>
              <w:rPr>
                <w:sz w:val="24"/>
              </w:rPr>
              <w:t>2</w:t>
            </w:r>
          </w:p>
        </w:tc>
        <w:tc>
          <w:tcPr>
            <w:tcW w:w="610" w:type="pct"/>
            <w:vAlign w:val="center"/>
          </w:tcPr>
          <w:p>
            <w:pPr>
              <w:jc w:val="center"/>
              <w:rPr>
                <w:rFonts w:ascii="Times New Roman" w:hAnsi="Times New Roman" w:eastAsia="宋体" w:cs="Times New Roman"/>
                <w:kern w:val="2"/>
                <w:sz w:val="24"/>
                <w:szCs w:val="24"/>
                <w:lang w:val="en-US" w:eastAsia="zh-CN" w:bidi="ar-SA"/>
              </w:rPr>
            </w:pPr>
            <w:r>
              <w:rPr>
                <w:rFonts w:hint="eastAsia"/>
                <w:sz w:val="24"/>
              </w:rPr>
              <w:t>产品描述</w:t>
            </w:r>
          </w:p>
        </w:tc>
        <w:tc>
          <w:tcPr>
            <w:tcW w:w="1581" w:type="pct"/>
            <w:vAlign w:val="center"/>
          </w:tcPr>
          <w:p>
            <w:pPr>
              <w:pStyle w:val="18"/>
              <w:numPr>
                <w:ilvl w:val="0"/>
                <w:numId w:val="2"/>
              </w:numPr>
              <w:adjustRightInd w:val="0"/>
              <w:snapToGrid w:val="0"/>
              <w:ind w:firstLineChars="0"/>
              <w:rPr>
                <w:sz w:val="24"/>
              </w:rPr>
            </w:pPr>
            <w:r>
              <w:rPr>
                <w:rFonts w:hint="eastAsia"/>
                <w:sz w:val="24"/>
              </w:rPr>
              <w:t>规格型号：</w:t>
            </w:r>
            <w:r>
              <w:rPr>
                <w:rFonts w:hint="eastAsia"/>
                <w:sz w:val="24"/>
                <w:lang w:val="en-US" w:eastAsia="zh-CN"/>
              </w:rPr>
              <w:t>2.5平方黄绿线 L=3000mm</w:t>
            </w:r>
          </w:p>
          <w:p>
            <w:pPr>
              <w:pStyle w:val="18"/>
              <w:numPr>
                <w:ilvl w:val="0"/>
                <w:numId w:val="2"/>
              </w:numPr>
              <w:adjustRightInd w:val="0"/>
              <w:snapToGrid w:val="0"/>
              <w:ind w:left="420" w:leftChars="0" w:hanging="420" w:firstLineChars="0"/>
              <w:rPr>
                <w:rFonts w:ascii="Times New Roman" w:hAnsi="Times New Roman" w:eastAsia="宋体" w:cs="Times New Roman"/>
                <w:kern w:val="2"/>
                <w:sz w:val="24"/>
                <w:szCs w:val="24"/>
                <w:lang w:val="en-US" w:eastAsia="zh-CN" w:bidi="ar-SA"/>
              </w:rPr>
            </w:pPr>
            <w:r>
              <w:rPr>
                <w:rFonts w:hint="eastAsia"/>
                <w:sz w:val="24"/>
              </w:rPr>
              <w:t>名称：</w:t>
            </w:r>
            <w:r>
              <w:rPr>
                <w:rFonts w:hint="eastAsia"/>
                <w:sz w:val="24"/>
                <w:lang w:val="en-US" w:eastAsia="zh-CN"/>
              </w:rPr>
              <w:t>防除颤干扰防雷击连接线</w:t>
            </w:r>
          </w:p>
        </w:tc>
        <w:tc>
          <w:tcPr>
            <w:tcW w:w="850" w:type="pct"/>
            <w:vAlign w:val="center"/>
          </w:tcPr>
          <w:p>
            <w:pPr>
              <w:jc w:val="center"/>
              <w:rPr>
                <w:rFonts w:ascii="Times New Roman" w:hAnsi="Times New Roman" w:eastAsia="宋体" w:cs="Times New Roman"/>
                <w:kern w:val="2"/>
                <w:sz w:val="24"/>
                <w:szCs w:val="24"/>
                <w:lang w:val="en-US" w:eastAsia="zh-CN" w:bidi="ar-SA"/>
              </w:rPr>
            </w:pPr>
            <w:r>
              <w:rPr>
                <w:rFonts w:hint="eastAsia"/>
                <w:sz w:val="24"/>
              </w:rPr>
              <w:t>目视</w:t>
            </w:r>
          </w:p>
        </w:tc>
        <w:tc>
          <w:tcPr>
            <w:tcW w:w="542" w:type="pct"/>
            <w:vAlign w:val="center"/>
          </w:tcPr>
          <w:p>
            <w:pPr>
              <w:rPr>
                <w:rFonts w:ascii="Times New Roman" w:hAnsi="Times New Roman" w:eastAsia="宋体" w:cs="Times New Roman"/>
                <w:kern w:val="2"/>
                <w:sz w:val="24"/>
                <w:szCs w:val="24"/>
                <w:lang w:val="en-US" w:eastAsia="zh-CN" w:bidi="ar-SA"/>
              </w:rPr>
            </w:pPr>
            <w:r>
              <w:rPr>
                <w:rFonts w:hint="eastAsia"/>
                <w:sz w:val="24"/>
              </w:rPr>
              <w:t>目视检查产品标签</w:t>
            </w:r>
            <w:r>
              <w:rPr>
                <w:sz w:val="24"/>
              </w:rPr>
              <w:t>。</w:t>
            </w:r>
          </w:p>
        </w:tc>
        <w:tc>
          <w:tcPr>
            <w:tcW w:w="563" w:type="pct"/>
            <w:vAlign w:val="center"/>
          </w:tcPr>
          <w:p>
            <w:pPr>
              <w:jc w:val="center"/>
              <w:rPr>
                <w:rFonts w:ascii="Times New Roman" w:hAnsi="Times New Roman" w:eastAsia="宋体" w:cs="Times New Roman"/>
                <w:kern w:val="2"/>
                <w:sz w:val="24"/>
                <w:szCs w:val="24"/>
                <w:lang w:val="en-US" w:eastAsia="zh-CN" w:bidi="ar-SA"/>
              </w:rPr>
            </w:pPr>
            <w:r>
              <w:rPr>
                <w:rFonts w:hint="eastAsia"/>
                <w:sz w:val="24"/>
              </w:rPr>
              <w:t>B</w:t>
            </w:r>
          </w:p>
        </w:tc>
        <w:tc>
          <w:tcPr>
            <w:tcW w:w="637" w:type="pct"/>
            <w:vAlign w:val="center"/>
          </w:tcPr>
          <w:p>
            <w:pPr>
              <w:jc w:val="center"/>
              <w:rPr>
                <w:rFonts w:ascii="Times New Roman" w:hAnsi="Times New Roman" w:eastAsia="宋体" w:cs="Times New Roman"/>
                <w:kern w:val="2"/>
                <w:sz w:val="24"/>
                <w:szCs w:val="24"/>
                <w:lang w:val="en-US" w:eastAsia="zh-CN" w:bidi="ar-SA"/>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4" w:type="pct"/>
            <w:vAlign w:val="center"/>
          </w:tcPr>
          <w:p>
            <w:pPr>
              <w:jc w:val="center"/>
              <w:rPr>
                <w:rFonts w:ascii="Times New Roman" w:hAnsi="Times New Roman" w:eastAsia="宋体" w:cs="Times New Roman"/>
                <w:kern w:val="2"/>
                <w:sz w:val="24"/>
                <w:szCs w:val="24"/>
                <w:lang w:val="en-US" w:eastAsia="zh-CN" w:bidi="ar-SA"/>
              </w:rPr>
            </w:pPr>
            <w:r>
              <w:rPr>
                <w:sz w:val="24"/>
              </w:rPr>
              <w:t>3</w:t>
            </w:r>
          </w:p>
          <w:p>
            <w:pPr>
              <w:jc w:val="center"/>
              <w:rPr>
                <w:sz w:val="24"/>
              </w:rPr>
            </w:pPr>
          </w:p>
        </w:tc>
        <w:tc>
          <w:tcPr>
            <w:tcW w:w="610" w:type="pct"/>
            <w:vAlign w:val="center"/>
          </w:tcPr>
          <w:p>
            <w:pPr>
              <w:jc w:val="center"/>
              <w:rPr>
                <w:rFonts w:ascii="Times New Roman" w:hAnsi="Times New Roman" w:eastAsia="宋体" w:cs="Times New Roman"/>
                <w:kern w:val="2"/>
                <w:sz w:val="24"/>
                <w:szCs w:val="24"/>
                <w:lang w:val="en-US" w:eastAsia="zh-CN" w:bidi="ar-SA"/>
              </w:rPr>
            </w:pPr>
            <w:r>
              <w:rPr>
                <w:rFonts w:hint="eastAsia"/>
                <w:sz w:val="24"/>
              </w:rPr>
              <w:t>产品包装</w:t>
            </w:r>
          </w:p>
          <w:p>
            <w:pPr>
              <w:jc w:val="center"/>
              <w:rPr>
                <w:rFonts w:hint="eastAsia"/>
                <w:sz w:val="24"/>
              </w:rPr>
            </w:pPr>
          </w:p>
        </w:tc>
        <w:tc>
          <w:tcPr>
            <w:tcW w:w="1581" w:type="pct"/>
            <w:vAlign w:val="center"/>
          </w:tcPr>
          <w:p>
            <w:pPr>
              <w:pStyle w:val="18"/>
              <w:numPr>
                <w:ilvl w:val="0"/>
                <w:numId w:val="3"/>
              </w:numPr>
              <w:adjustRightInd w:val="0"/>
              <w:snapToGrid w:val="0"/>
              <w:ind w:left="420" w:leftChars="0" w:hanging="420" w:firstLineChars="0"/>
              <w:rPr>
                <w:rFonts w:hint="eastAsia"/>
                <w:sz w:val="24"/>
              </w:rPr>
            </w:pPr>
            <w:r>
              <w:rPr>
                <w:rFonts w:hint="eastAsia"/>
                <w:sz w:val="24"/>
              </w:rPr>
              <w:t>在每P</w:t>
            </w:r>
            <w:r>
              <w:rPr>
                <w:sz w:val="24"/>
              </w:rPr>
              <w:t>CS</w:t>
            </w:r>
            <w:r>
              <w:rPr>
                <w:rFonts w:hint="eastAsia"/>
                <w:sz w:val="24"/>
              </w:rPr>
              <w:t>产品外增加包装保护，防止产品在运输过程中受损</w:t>
            </w:r>
          </w:p>
        </w:tc>
        <w:tc>
          <w:tcPr>
            <w:tcW w:w="850" w:type="pct"/>
            <w:vAlign w:val="center"/>
          </w:tcPr>
          <w:p>
            <w:pPr>
              <w:jc w:val="center"/>
              <w:rPr>
                <w:rFonts w:hint="eastAsia"/>
                <w:sz w:val="24"/>
              </w:rPr>
            </w:pPr>
            <w:r>
              <w:rPr>
                <w:rFonts w:hint="eastAsia"/>
                <w:sz w:val="24"/>
              </w:rPr>
              <w:t>目视</w:t>
            </w:r>
          </w:p>
        </w:tc>
        <w:tc>
          <w:tcPr>
            <w:tcW w:w="542" w:type="pct"/>
            <w:vAlign w:val="center"/>
          </w:tcPr>
          <w:p>
            <w:pPr>
              <w:rPr>
                <w:rFonts w:hint="eastAsia"/>
                <w:sz w:val="24"/>
              </w:rPr>
            </w:pPr>
            <w:r>
              <w:rPr>
                <w:rFonts w:hint="eastAsia"/>
                <w:sz w:val="24"/>
              </w:rPr>
              <w:t>目视检查产品包装是否满足要求，产品是否受损。</w:t>
            </w:r>
          </w:p>
        </w:tc>
        <w:tc>
          <w:tcPr>
            <w:tcW w:w="563" w:type="pct"/>
            <w:vAlign w:val="center"/>
          </w:tcPr>
          <w:p>
            <w:pPr>
              <w:jc w:val="center"/>
              <w:rPr>
                <w:rFonts w:hint="eastAsia"/>
                <w:sz w:val="24"/>
              </w:rPr>
            </w:pPr>
            <w:r>
              <w:rPr>
                <w:rFonts w:hint="eastAsia"/>
                <w:sz w:val="24"/>
              </w:rPr>
              <w:t>B</w:t>
            </w:r>
          </w:p>
        </w:tc>
        <w:tc>
          <w:tcPr>
            <w:tcW w:w="637" w:type="pct"/>
            <w:vAlign w:val="center"/>
          </w:tcPr>
          <w:p>
            <w:pPr>
              <w:rPr>
                <w:rFonts w:hint="eastAsia"/>
                <w:sz w:val="24"/>
              </w:rPr>
            </w:pPr>
            <w:r>
              <w:rPr>
                <w:rFonts w:hint="eastAsia"/>
                <w:sz w:val="24"/>
              </w:rPr>
              <w:t>每批检验一次</w:t>
            </w:r>
          </w:p>
        </w:tc>
      </w:tr>
    </w:tbl>
    <w:p>
      <w:pPr>
        <w:tabs>
          <w:tab w:val="left" w:pos="1058"/>
          <w:tab w:val="left" w:pos="1260"/>
        </w:tabs>
        <w:rPr>
          <w:rFonts w:hint="eastAsia" w:ascii="黑体" w:hAnsi="黑体" w:eastAsia="黑体"/>
          <w:sz w:val="24"/>
          <w:lang w:val="fr-FR"/>
        </w:rPr>
      </w:pPr>
      <w:r>
        <w:rPr>
          <w:rFonts w:hint="eastAsia" w:ascii="黑体" w:hAnsi="黑体" w:eastAsia="黑体"/>
          <w:sz w:val="24"/>
          <w:lang w:val="fr-FR"/>
        </w:rPr>
        <w:t>2. 单证资料</w:t>
      </w:r>
    </w:p>
    <w:p>
      <w:pPr>
        <w:tabs>
          <w:tab w:val="left" w:pos="1058"/>
          <w:tab w:val="left" w:pos="1260"/>
        </w:tabs>
        <w:jc w:val="left"/>
        <w:rPr>
          <w:rFonts w:hint="eastAsia" w:ascii="黑体" w:hAnsi="黑体" w:eastAsia="黑体"/>
          <w:sz w:val="24"/>
          <w:lang w:val="en-US" w:eastAsia="zh-CN"/>
        </w:rPr>
      </w:pPr>
      <w:r>
        <w:rPr>
          <w:rFonts w:hint="eastAsia" w:ascii="黑体" w:hAnsi="黑体" w:eastAsia="黑体"/>
          <w:sz w:val="24"/>
          <w:lang w:val="en-US" w:eastAsia="zh-CN"/>
        </w:rPr>
        <w:t>无</w:t>
      </w: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hint="eastAsia" w:ascii="宋体" w:hAnsi="宋体" w:eastAsia="宋体"/>
          <w:sz w:val="24"/>
          <w:lang w:val="en-US" w:eastAsia="zh-CN"/>
        </w:rPr>
      </w:pPr>
      <w:r>
        <w:rPr>
          <w:rFonts w:hint="eastAsia" w:ascii="宋体" w:hAnsi="宋体"/>
          <w:sz w:val="24"/>
          <w:lang w:val="en-US" w:eastAsia="zh-CN"/>
        </w:rPr>
        <w:t>无</w:t>
      </w:r>
    </w:p>
    <w:p>
      <w:pPr>
        <w:ind w:right="-153" w:rightChars="-73"/>
        <w:rPr>
          <w:rFonts w:hint="eastAsia" w:ascii="黑体" w:hAnsi="黑体" w:eastAsia="黑体"/>
          <w:sz w:val="24"/>
          <w:lang w:val="fr-FR"/>
        </w:rPr>
      </w:pPr>
    </w:p>
    <w:p>
      <w:pPr>
        <w:ind w:right="-153" w:rightChars="-73"/>
        <w:rPr>
          <w:rFonts w:ascii="宋体" w:hAnsi="宋体"/>
          <w:sz w:val="24"/>
          <w:highlight w:val="yellow"/>
          <w:lang w:val="fr-FR"/>
        </w:rPr>
      </w:pPr>
      <w:r>
        <w:rPr>
          <w:rFonts w:hint="eastAsia" w:ascii="黑体" w:hAnsi="黑体" w:eastAsia="黑体"/>
          <w:sz w:val="24"/>
          <w:lang w:val="fr-FR"/>
        </w:rPr>
        <w:t>4. 批的定义</w:t>
      </w:r>
      <w:r>
        <w:rPr>
          <w:rFonts w:hint="eastAsia"/>
          <w:sz w:val="24"/>
          <w:lang w:val="fr-FR"/>
        </w:rPr>
        <w:t>Lot Definition :</w:t>
      </w:r>
    </w:p>
    <w:p>
      <w:pPr>
        <w:ind w:right="21" w:rightChars="10"/>
        <w:rPr>
          <w:rFonts w:hint="default" w:eastAsia="宋体"/>
          <w:color w:val="auto"/>
          <w:sz w:val="24"/>
          <w:lang w:val="en-US" w:eastAsia="zh-CN"/>
        </w:rPr>
      </w:pPr>
      <w:r>
        <w:rPr>
          <w:rFonts w:hint="eastAsia"/>
          <w:color w:val="auto"/>
          <w:sz w:val="24"/>
          <w:lang w:val="en-US" w:eastAsia="zh-CN"/>
        </w:rPr>
        <w:t>生产批：在一段时间内，同一生产工艺条件下连续产出的具有同一性质和质量产品确定的数量。</w:t>
      </w: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rFonts w:hint="default" w:ascii="黑体" w:hAnsi="黑体" w:eastAsia="黑体"/>
          <w:sz w:val="24"/>
          <w:lang w:val="en-US" w:eastAsia="zh-CN"/>
        </w:rPr>
      </w:pPr>
      <w:r>
        <w:rPr>
          <w:rFonts w:hint="eastAsia" w:ascii="黑体" w:hAnsi="黑体" w:eastAsia="黑体"/>
          <w:sz w:val="24"/>
          <w:lang w:val="en-US" w:eastAsia="zh-CN"/>
        </w:rPr>
        <w:t>一般生产环境</w:t>
      </w:r>
      <w:bookmarkStart w:id="0" w:name="_GoBack"/>
      <w:bookmarkEnd w:id="0"/>
    </w:p>
    <w:p>
      <w:pPr>
        <w:ind w:right="132" w:rightChars="63"/>
        <w:rPr>
          <w:sz w:val="24"/>
          <w:lang w:val="fr-FR"/>
        </w:rPr>
      </w:pPr>
      <w:r>
        <w:rPr>
          <w:rFonts w:hint="eastAsia" w:ascii="黑体" w:hAnsi="黑体" w:eastAsia="黑体"/>
          <w:sz w:val="24"/>
          <w:lang w:val="fr-FR"/>
        </w:rPr>
        <w:t>6.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rPr>
          <w:sz w:val="24"/>
          <w:highlight w:val="yellow"/>
          <w:lang w:val="fr-FR"/>
        </w:rPr>
      </w:pPr>
    </w:p>
    <w:p>
      <w:pPr>
        <w:pStyle w:val="8"/>
        <w:widowControl/>
        <w:spacing w:beforeAutospacing="0" w:afterAutospacing="0"/>
        <w:rPr>
          <w:rFonts w:ascii="宋体" w:hAnsi="宋体" w:cs="宋体"/>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rFonts w:hint="eastAsia" w:eastAsia="宋体"/>
          <w:sz w:val="24"/>
          <w:highlight w:val="none"/>
          <w:lang w:val="en-US" w:eastAsia="zh-CN"/>
        </w:rPr>
      </w:pPr>
      <w:r>
        <w:rPr>
          <w:rFonts w:hint="eastAsia"/>
          <w:sz w:val="24"/>
          <w:highlight w:val="none"/>
          <w:lang w:val="en-US" w:eastAsia="zh-CN"/>
        </w:rPr>
        <w:t>无</w:t>
      </w:r>
    </w:p>
    <w:p>
      <w:pPr>
        <w:ind w:right="-153" w:rightChars="-73"/>
        <w:rPr>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93" w:type="dxa"/>
            <w:vAlign w:val="top"/>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1652" w:type="dxa"/>
            <w:vAlign w:val="top"/>
          </w:tcPr>
          <w:p>
            <w:pPr>
              <w:tabs>
                <w:tab w:val="center" w:pos="4153"/>
                <w:tab w:val="right" w:pos="8306"/>
              </w:tabs>
              <w:snapToGrid w:val="0"/>
              <w:jc w:val="center"/>
              <w:rPr>
                <w:rFonts w:ascii="Times" w:hAnsi="Times" w:eastAsiaTheme="minorEastAsia"/>
                <w:sz w:val="24"/>
              </w:rPr>
            </w:pPr>
          </w:p>
        </w:tc>
        <w:tc>
          <w:tcPr>
            <w:tcW w:w="1340" w:type="dxa"/>
            <w:vAlign w:val="top"/>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3266" w:type="dxa"/>
            <w:vAlign w:val="top"/>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1854" w:type="dxa"/>
            <w:vAlign w:val="top"/>
          </w:tcPr>
          <w:p>
            <w:pPr>
              <w:tabs>
                <w:tab w:val="center" w:pos="4153"/>
                <w:tab w:val="right" w:pos="8306"/>
              </w:tabs>
              <w:snapToGrid w:val="0"/>
              <w:jc w:val="center"/>
              <w:rPr>
                <w:rFonts w:ascii="Times" w:hAnsi="Times" w:eastAsiaTheme="minorEastAsia"/>
                <w:sz w:val="24"/>
              </w:rPr>
            </w:pPr>
          </w:p>
        </w:tc>
        <w:tc>
          <w:tcPr>
            <w:tcW w:w="2087" w:type="dxa"/>
            <w:vAlign w:val="top"/>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2317" w:type="dxa"/>
            <w:vAlign w:val="top"/>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93" w:type="dxa"/>
            <w:vAlign w:val="top"/>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1652" w:type="dxa"/>
            <w:vAlign w:val="top"/>
          </w:tcPr>
          <w:p>
            <w:pPr>
              <w:tabs>
                <w:tab w:val="center" w:pos="4153"/>
                <w:tab w:val="right" w:pos="8306"/>
              </w:tabs>
              <w:snapToGrid w:val="0"/>
              <w:jc w:val="center"/>
              <w:rPr>
                <w:rFonts w:ascii="Times" w:hAnsi="Times" w:eastAsiaTheme="minorEastAsia"/>
                <w:sz w:val="24"/>
              </w:rPr>
            </w:pPr>
          </w:p>
        </w:tc>
        <w:tc>
          <w:tcPr>
            <w:tcW w:w="1340" w:type="dxa"/>
            <w:vAlign w:val="top"/>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3266" w:type="dxa"/>
            <w:vAlign w:val="top"/>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1854" w:type="dxa"/>
            <w:vAlign w:val="top"/>
          </w:tcPr>
          <w:p>
            <w:pPr>
              <w:tabs>
                <w:tab w:val="center" w:pos="4153"/>
                <w:tab w:val="right" w:pos="8306"/>
              </w:tabs>
              <w:snapToGrid w:val="0"/>
              <w:jc w:val="center"/>
              <w:rPr>
                <w:rFonts w:ascii="Times" w:hAnsi="Times" w:eastAsiaTheme="minorEastAsia"/>
                <w:sz w:val="24"/>
              </w:rPr>
            </w:pPr>
          </w:p>
        </w:tc>
        <w:tc>
          <w:tcPr>
            <w:tcW w:w="2087" w:type="dxa"/>
            <w:vAlign w:val="top"/>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2317" w:type="dxa"/>
            <w:vAlign w:val="top"/>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ind w:right="-153" w:rightChars="-73"/>
        <w:rPr>
          <w:color w:val="FF0000"/>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2022-03-01</w:t>
            </w:r>
          </w:p>
        </w:tc>
        <w:tc>
          <w:tcPr>
            <w:tcW w:w="715" w:type="pct"/>
            <w:vAlign w:val="center"/>
          </w:tcPr>
          <w:p>
            <w:pPr>
              <w:jc w:val="center"/>
              <w:rPr>
                <w:rFonts w:hint="default" w:eastAsia="宋体"/>
                <w:sz w:val="24"/>
                <w:lang w:val="en-US" w:eastAsia="zh-CN"/>
              </w:rPr>
            </w:pPr>
            <w:r>
              <w:rPr>
                <w:rFonts w:hint="eastAsia"/>
                <w:sz w:val="24"/>
                <w:lang w:val="en-US" w:eastAsia="zh-CN"/>
              </w:rPr>
              <w:t>段美琼</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sectPr>
      <w:headerReference r:id="rId5" w:type="first"/>
      <w:footerReference r:id="rId8" w:type="first"/>
      <w:headerReference r:id="rId3" w:type="default"/>
      <w:footerReference r:id="rId6" w:type="default"/>
      <w:headerReference r:id="rId4" w:type="even"/>
      <w:footerReference r:id="rId7" w:type="even"/>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2520" w:firstLineChars="900"/>
            <w:jc w:val="both"/>
            <w:rPr>
              <w:rFonts w:hint="eastAsia" w:ascii="黑体" w:hAnsi="黑体" w:eastAsia="黑体"/>
              <w:sz w:val="28"/>
              <w:szCs w:val="28"/>
              <w:lang w:val="en-US" w:eastAsia="zh-CN"/>
            </w:rPr>
          </w:pPr>
          <w:r>
            <w:rPr>
              <w:rFonts w:hint="eastAsia" w:ascii="黑体" w:hAnsi="黑体" w:eastAsia="黑体"/>
              <w:sz w:val="28"/>
              <w:szCs w:val="28"/>
              <w:lang w:val="en-US" w:eastAsia="zh-CN"/>
            </w:rPr>
            <w:t>防</w:t>
          </w:r>
          <w:r>
            <w:rPr>
              <w:rFonts w:hint="eastAsia" w:ascii="黑体" w:hAnsi="黑体" w:eastAsia="黑体"/>
              <w:sz w:val="28"/>
              <w:szCs w:val="28"/>
            </w:rPr>
            <w:t>除颤干扰防雷击</w:t>
          </w:r>
          <w:r>
            <w:rPr>
              <w:rFonts w:hint="eastAsia" w:ascii="黑体" w:hAnsi="黑体" w:eastAsia="黑体"/>
              <w:sz w:val="28"/>
              <w:szCs w:val="28"/>
              <w:lang w:val="en-US" w:eastAsia="zh-CN"/>
            </w:rPr>
            <w:t>连接线</w:t>
          </w:r>
        </w:p>
        <w:p>
          <w:pPr>
            <w:ind w:firstLine="3080" w:firstLineChars="1100"/>
            <w:jc w:val="both"/>
            <w:rPr>
              <w:rFonts w:ascii="黑体" w:hAnsi="黑体" w:eastAsia="黑体"/>
              <w:sz w:val="28"/>
              <w:szCs w:val="28"/>
            </w:rPr>
          </w:pPr>
          <w:r>
            <w:rPr>
              <w:rFonts w:hint="eastAsia" w:ascii="黑体" w:hAnsi="黑体" w:eastAsia="黑体"/>
              <w:sz w:val="28"/>
              <w:szCs w:val="28"/>
            </w:rPr>
            <w:t>质量标准</w:t>
          </w:r>
        </w:p>
        <w:p>
          <w:pPr>
            <w:ind w:firstLine="2800" w:firstLineChars="1000"/>
            <w:jc w:val="both"/>
            <w:rPr>
              <w:rFonts w:ascii="Arial" w:hAnsi="Arial" w:cs="Arial"/>
              <w:sz w:val="28"/>
              <w:szCs w:val="28"/>
            </w:rPr>
          </w:pPr>
          <w:r>
            <w:rPr>
              <w:rFonts w:ascii="Arial" w:hAnsi="Arial" w:cs="Arial"/>
              <w:sz w:val="28"/>
              <w:szCs w:val="28"/>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sz w:val="24"/>
            </w:rPr>
          </w:pPr>
          <w:r>
            <w:rPr>
              <w:sz w:val="21"/>
              <w:szCs w:val="21"/>
            </w:rPr>
            <w:t>AAA-</w:t>
          </w:r>
          <w:r>
            <w:rPr>
              <w:rFonts w:hint="eastAsia"/>
              <w:sz w:val="21"/>
              <w:szCs w:val="21"/>
            </w:rPr>
            <w:t>M</w:t>
          </w:r>
          <w:r>
            <w:rPr>
              <w:sz w:val="21"/>
              <w:szCs w:val="21"/>
            </w:rPr>
            <w:t>AT-</w:t>
          </w:r>
          <w:r>
            <w:rPr>
              <w:rFonts w:hint="eastAsia"/>
              <w:sz w:val="21"/>
              <w:szCs w:val="21"/>
              <w:lang w:val="en-US" w:eastAsia="zh-CN"/>
            </w:rPr>
            <w:t>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FF0000"/>
              <w:szCs w:val="21"/>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sz w:val="21"/>
              <w:szCs w:val="21"/>
            </w:rPr>
            <w:t>10200</w:t>
          </w:r>
          <w:r>
            <w:rPr>
              <w:rFonts w:hint="eastAsia"/>
              <w:sz w:val="21"/>
              <w:szCs w:val="21"/>
              <w:lang w:val="en-US" w:eastAsia="zh-CN"/>
            </w:rPr>
            <w:t>229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ind w:firstLine="2520" w:firstLineChars="900"/>
            <w:jc w:val="both"/>
            <w:rPr>
              <w:rFonts w:hint="eastAsia" w:ascii="黑体" w:hAnsi="黑体" w:eastAsia="黑体"/>
              <w:sz w:val="28"/>
              <w:szCs w:val="28"/>
              <w:lang w:val="en-US" w:eastAsia="zh-CN"/>
            </w:rPr>
          </w:pPr>
          <w:r>
            <w:rPr>
              <w:rFonts w:hint="eastAsia" w:ascii="黑体" w:hAnsi="黑体" w:eastAsia="黑体"/>
              <w:sz w:val="28"/>
              <w:szCs w:val="28"/>
              <w:lang w:val="en-US" w:eastAsia="zh-CN"/>
            </w:rPr>
            <w:t>防</w:t>
          </w:r>
          <w:r>
            <w:rPr>
              <w:rFonts w:hint="eastAsia" w:ascii="黑体" w:hAnsi="黑体" w:eastAsia="黑体"/>
              <w:sz w:val="28"/>
              <w:szCs w:val="28"/>
            </w:rPr>
            <w:t>除颤干扰防雷击</w:t>
          </w:r>
          <w:r>
            <w:rPr>
              <w:rFonts w:hint="eastAsia" w:ascii="黑体" w:hAnsi="黑体" w:eastAsia="黑体"/>
              <w:sz w:val="28"/>
              <w:szCs w:val="28"/>
              <w:lang w:val="en-US" w:eastAsia="zh-CN"/>
            </w:rPr>
            <w:t>连接线</w:t>
          </w:r>
        </w:p>
        <w:p>
          <w:pPr>
            <w:ind w:firstLine="3080" w:firstLineChars="1100"/>
            <w:jc w:val="both"/>
            <w:rPr>
              <w:rFonts w:ascii="黑体" w:hAnsi="黑体" w:eastAsia="黑体"/>
              <w:sz w:val="28"/>
              <w:szCs w:val="28"/>
            </w:rPr>
          </w:pPr>
          <w:r>
            <w:rPr>
              <w:rFonts w:hint="eastAsia" w:ascii="黑体" w:hAnsi="黑体" w:eastAsia="黑体"/>
              <w:sz w:val="28"/>
              <w:szCs w:val="28"/>
            </w:rPr>
            <w:t>质量标准</w:t>
          </w:r>
        </w:p>
        <w:p>
          <w:pPr>
            <w:ind w:firstLine="2800" w:firstLineChars="1000"/>
            <w:jc w:val="both"/>
            <w:rPr>
              <w:rFonts w:ascii="Arial" w:hAnsi="Arial" w:cs="Arial"/>
              <w:sz w:val="28"/>
              <w:szCs w:val="28"/>
            </w:rPr>
          </w:pPr>
          <w:r>
            <w:rPr>
              <w:rFonts w:ascii="Arial" w:hAnsi="Arial" w:cs="Arial"/>
              <w:sz w:val="28"/>
              <w:szCs w:val="28"/>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color w:val="00B0F0"/>
              <w:lang w:val="en-US"/>
            </w:rPr>
          </w:pPr>
          <w:r>
            <w:rPr>
              <w:sz w:val="21"/>
              <w:szCs w:val="21"/>
            </w:rPr>
            <w:t>AAA-</w:t>
          </w:r>
          <w:r>
            <w:rPr>
              <w:rFonts w:hint="eastAsia"/>
              <w:sz w:val="21"/>
              <w:szCs w:val="21"/>
            </w:rPr>
            <w:t>M</w:t>
          </w:r>
          <w:r>
            <w:rPr>
              <w:sz w:val="21"/>
              <w:szCs w:val="21"/>
            </w:rPr>
            <w:t>AT-</w:t>
          </w:r>
          <w:r>
            <w:rPr>
              <w:rFonts w:hint="eastAsia"/>
              <w:sz w:val="21"/>
              <w:szCs w:val="21"/>
              <w:lang w:val="en-US" w:eastAsia="zh-CN"/>
            </w:rPr>
            <w:t>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FF0000"/>
              <w:szCs w:val="21"/>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sz w:val="21"/>
              <w:szCs w:val="21"/>
            </w:rPr>
            <w:t>10200</w:t>
          </w:r>
          <w:r>
            <w:rPr>
              <w:rFonts w:hint="eastAsia"/>
              <w:sz w:val="21"/>
              <w:szCs w:val="21"/>
              <w:lang w:val="en-US" w:eastAsia="zh-CN"/>
            </w:rPr>
            <w:t>229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AxNWFhNjE5NTg3NDYyNGU2MzlmNTQ4YTMzMmQyMWMifQ=="/>
  </w:docVars>
  <w:rsids>
    <w:rsidRoot w:val="00172A27"/>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52C9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16E02DBC"/>
    <w:rsid w:val="199C3393"/>
    <w:rsid w:val="2B2C44AA"/>
    <w:rsid w:val="31441DA9"/>
    <w:rsid w:val="3C105CB2"/>
    <w:rsid w:val="467952C2"/>
    <w:rsid w:val="46DC16B9"/>
    <w:rsid w:val="4887563D"/>
    <w:rsid w:val="49347C8A"/>
    <w:rsid w:val="504E35F6"/>
    <w:rsid w:val="57C32A7E"/>
    <w:rsid w:val="5C9F691E"/>
    <w:rsid w:val="781F6DF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uiPriority w:val="0"/>
    <w:pPr>
      <w:jc w:val="left"/>
    </w:pPr>
  </w:style>
  <w:style w:type="paragraph" w:styleId="4">
    <w:name w:val="Block Text"/>
    <w:basedOn w:val="1"/>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Char"/>
    <w:basedOn w:val="12"/>
    <w:link w:val="3"/>
    <w:semiHidden/>
    <w:qFormat/>
    <w:uiPriority w:val="0"/>
    <w:rPr>
      <w:kern w:val="2"/>
      <w:sz w:val="21"/>
      <w:szCs w:val="24"/>
    </w:rPr>
  </w:style>
  <w:style w:type="character" w:customStyle="1" w:styleId="17">
    <w:name w:val="批注主题 Char"/>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Char"/>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3</Pages>
  <Words>474</Words>
  <Characters>854</Characters>
  <Lines>38</Lines>
  <Paragraphs>10</Paragraphs>
  <TotalTime>3</TotalTime>
  <ScaleCrop>false</ScaleCrop>
  <LinksUpToDate>false</LinksUpToDate>
  <CharactersWithSpaces>905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薆的好深、</cp:lastModifiedBy>
  <cp:lastPrinted>2013-09-27T01:10:00Z</cp:lastPrinted>
  <dcterms:modified xsi:type="dcterms:W3CDTF">2022-09-07T01:29:19Z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5760F08D112644F499774B7E67CDA33F</vt:lpwstr>
  </property>
</Properties>
</file>