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10月14日—21日 本周结论与下一步</w:t>
      </w:r>
    </w:p>
    <w:p>
      <w:r>
        <w:t>本周研究：给经验打分，能否帮助模型写出既正确又安全的代码？Q就是根据历史做题反馈形成的经验评分。</w:t>
      </w:r>
    </w:p>
    <w:p>
      <w:r>
        <w:rPr>
          <w:b/>
        </w:rPr>
        <w:t>主要发现：</w:t>
      </w:r>
      <w:r>
        <w:t xml:space="preserve"> </w:t>
      </w:r>
      <w:hyperlink w:history="1" r:id="rId9" w:anchor="a3">
        <w:r>
          <w:rPr>
            <w:rFonts w:ascii="Times New Roman" w:hAnsi="Times New Roman" w:eastAsia="宋体"/>
            <w:u w:val="single"/>
            <w:color w:val="255C87"/>
          </w:rPr>
          <w:t>Q确实改变了实际选用的经验</w:t>
        </w:r>
      </w:hyperlink>
      <w:r>
        <w:t>，但</w:t>
      </w:r>
      <w:hyperlink w:history="1" r:id="rId9" w:anchor="a2">
        <w:r>
          <w:rPr>
            <w:rFonts w:ascii="Times New Roman" w:hAnsi="Times New Roman" w:eastAsia="宋体"/>
            <w:u w:val="single"/>
            <w:color w:val="255C87"/>
          </w:rPr>
          <w:t>旧评分没有稳定提高正确率</w:t>
        </w:r>
      </w:hyperlink>
      <w:r>
        <w:t>。在同一批可比较题上，评分选卡通过102题，相似度选卡通过103题。扩大反馈让更多经验获得评分，也没有自动改善同题表现。</w:t>
      </w:r>
    </w:p>
    <w:p>
      <w:r>
        <w:rPr>
          <w:b/>
        </w:rPr>
        <w:t>对主线的影响：</w:t>
      </w:r>
      <w:r>
        <w:t xml:space="preserve"> 后续判断应落在“哪些经验真正帮助解题”，同时检查经验是否适用、模型是否正确落实；卡片被选中或获得评分，都不能代替代码结果。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17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1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下一步：</w:t>
      </w:r>
      <w:r>
        <w:t xml:space="preserve"> 按本周期末安排，先补齐在线学习，再固定评分检验迁移效果；完成适用性标签复核，用于判断检索是否找对经验。</w:t>
      </w:r>
    </w:p>
    <w:p>
      <w:pPr>
        <w:ind w:firstLine="0"/>
      </w:pPr>
      <w:hyperlink w:history="1" r:id="rId11">
        <w:r>
          <w:rPr>
            <w:rFonts w:ascii="Times New Roman" w:hAnsi="Times New Roman" w:eastAsia="宋体"/>
            <w:u w:val="single"/>
            <w:color w:val="255C87"/>
          </w:rPr>
          <w:t>查看横版思路图</w:t>
        </w:r>
      </w:hyperlink>
      <w:r>
        <w:t xml:space="preserve">　</w:t>
      </w:r>
      <w:hyperlink w:history="1" r:id="rId9">
        <w:r>
          <w:rPr>
            <w:rFonts w:ascii="Times New Roman" w:hAnsi="Times New Roman" w:eastAsia="宋体"/>
            <w:u w:val="single"/>
            <w:color w:val="255C87"/>
          </w:rPr>
          <w:t>查看完整周报</w:t>
        </w:r>
      </w:hyperlink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  <w:ind w:firstLine="0"/>
    </w:pPr>
    <w:rPr>
      <w:rFonts w:ascii="Times New Roman" w:hAnsi="Times New Roman" w:eastAsia="宋体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Times New Roman" w:hAnsi="Times New Roman" w:eastAsia="宋体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宋体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ind w:firstLine="0"/>
      <w:contextualSpacing/>
    </w:pPr>
    <w:rPr>
      <w:rFonts w:ascii="Times New Roman" w:hAnsi="Times New Roman" w:eastAsia="宋体" w:cs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宋体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 w:cs="Times New Roman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file:///D:/Agent/sct-security-generation/docs/research/reports/CLE-PKG-20261014-20261021-v01/10%E6%9C%8814%E6%97%A5-10%E6%9C%8821%E6%97%A5%E5%AE%9E%E9%AA%8C%E6%8E%A2%E7%B4%A2%E6%8A%A5%E5%91%8A.docx" TargetMode="External"/><Relationship Id="rId10" Type="http://schemas.openxmlformats.org/officeDocument/2006/relationships/image" Target="media/image1.png"/><Relationship Id="rId11" Type="http://schemas.openxmlformats.org/officeDocument/2006/relationships/hyperlink" Target="file:///D:/Agent/sct-security-generation/docs/research/reports/CLE-PKG-20261014-20261021-v01/10%E6%9C%8814%E6%97%A5-10%E6%9C%8821%E6%97%A5%E6%80%9D%E8%B7%AF%E8%84%89%E7%BB%9C%E5%9B%B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10月14日—21日 本周结论与下一步</dc:title>
  <dc:subject/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