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10月14日-10月21日实验探索报告</w:t>
      </w:r>
    </w:p>
    <w:p>
      <w:pPr>
        <w:ind w:firstLine="0"/>
        <w:jc w:val="center"/>
      </w:pPr>
      <w:r>
        <w:rPr>
          <w:sz w:val="19"/>
        </w:rPr>
        <w:t>报告周期：2026年10月14日至10月21日　结果统计截至：10月21日22:26（北京时间）</w:t>
      </w:r>
    </w:p>
    <w:p>
      <w:r>
        <w:t>版本状态：历史追溯重写版。首期为一次性的八日周期，实验状态截至10月21日22:26暂停时；报告于10月27日重新整理。部分失败原因来自10月22日之后对已保存结果的复盘，文中单独注明，不改变当时的结果和决定。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期要回答的是：让CLE智能体根据做题反馈给经验卡打分之后，能否选出更有帮助的经验，让代码同时满足功能和安全要求。实验引入记忆奖励Q值，先在经验增长题上积累反馈，再检查同题效果以及同类漏洞下不同题族的迁移。围绕这些要求，本期依次研究Q是否改变选卡、怎样扩大获得反馈的卡片范围，以及代码失败究竟发生在哪里；同时准备检索质量测量。</w:t>
      </w:r>
    </w:p>
    <w:p>
      <w:r>
        <w:t>本期最明确的结果是：Q确实改变了选入的卡片，但旧冻结Q在298题D_gate名单上没有表现出稳定优势，学习Q组其中2题缺测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。到10月21日暂停时，新的在线强化仍未完成，不能用旧实验代替这次强化后的评价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。主要成绩采用Joint，即同一份最终交付代码同时通过功能和安全测试；选卡与采用记录用来解释成绩如何产生。</w:t>
      </w:r>
    </w:p>
    <w:p>
      <w:bookmarkStart w:id="2" w:name="r1"/>
      <w:pPr>
        <w:pStyle w:val="Heading2"/>
      </w:pPr>
      <w:r>
        <w:t>（一）引入Q值，确认它是否改变选卡并改善正确率</w:t>
      </w:r>
      <w:bookmarkEnd w:id="2"/>
    </w:p>
    <w:p>
      <w:r>
        <w:t>Q对具体选卡的影响已有证据：重复选卡对照中，组间差异超过了这组样本上的模型自身波动；D_init可比较的296题中，有281题首次选入的卡片集合改变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。但全298题D_gate旧Q对照中，学习Q的Joint为102/298，介于纯相似度104/298与打乱Q的100/298之间，尚未建立稳定收益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。因此可以确认这一设置下Q参与排序能够改变最终选卡，不能据此确认它稳定提高正确率。</w:t>
      </w:r>
    </w:p>
    <w:p>
      <w:pPr>
        <w:ind w:firstLine="0"/>
      </w:pPr>
      <w:r>
        <w:t>证据对应：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支撑“Q改变了哪些卡被选入”；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支撑“旧冻结Q尚未稳定优于参照组”。两项实验分别回答干预是否发生与结果是否改善。</w:t>
      </w:r>
    </w:p>
    <w:p>
      <w:bookmarkStart w:id="3" w:name="r2"/>
      <w:pPr>
        <w:pStyle w:val="Heading2"/>
      </w:pPr>
      <w:r>
        <w:t>（二）通过做题反馈扩大Q覆盖，再区分同题收益与跨题族收益</w:t>
      </w:r>
      <w:bookmarkEnd w:id="3"/>
    </w:p>
    <w:p>
      <w:r>
        <w:t>固定1939张经验卡中，获得过反馈的卡数从早期466张提高到期末972张，覆盖率由24.03%提高到50.13%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。这些学习只更新实际采用且反馈合格的卡，不会给每张检索到的卡都赋值，也不等于新建经验。不限三卡的D_grow观察学习Joint为109/273，冻结后同题回测为100/273，覆盖扩大尚未转化为同题改善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。最后一轮在线强化仅完成D_init 303题及D_grow 23题，强化后的D_gate对照还没有运行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，不能写成分轮强化与迁移验证已全部完成。</w:t>
      </w:r>
    </w:p>
    <w:p>
      <w:pPr>
        <w:ind w:firstLine="0"/>
      </w:pPr>
      <w:r>
        <w:t>证据对应：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支撑“覆盖扩大及同题回测下降”；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给出本周期末实际完成前缀，解释尚未验证的内容。</w:t>
      </w:r>
    </w:p>
    <w:p>
      <w:bookmarkStart w:id="4" w:name="r3"/>
      <w:pPr>
        <w:pStyle w:val="Heading2"/>
      </w:pPr>
      <w:r>
        <w:t>（三）解释代码损失，区分题目契约、模型实现与Q机制</w:t>
      </w:r>
      <w:bookmarkEnd w:id="4"/>
    </w:p>
    <w:p>
      <w:r>
        <w:t>对在线D_init相对一项旧参照损失的18题，后续复盘将13题定位到已有配置被重新定义，2题涉及公开契约缺失，另有2题资源策略问题和1题网络问题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。这说明不能把所有损失都直接解释为Q评分错误。局部代码修复是原因诊断，并未改变原始实验成绩；Q引入了不同卡片，卡片内容、模型执行与测试契约仍共同影响最后结果。</w:t>
      </w:r>
    </w:p>
    <w:p>
      <w:pPr>
        <w:ind w:firstLine="0"/>
      </w:pPr>
      <w:r>
        <w:t>证据对应：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支撑这些具体失败原因及局部修复现象；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补充采用新增卡与Joint变化的交叉记录。上述解释来自对本周保存代码的后续复盘，不是新的付费实验。</w:t>
      </w:r>
    </w:p>
    <w:p>
      <w:bookmarkStart w:id="5" w:name="r4"/>
      <w:pPr>
        <w:pStyle w:val="Heading2"/>
      </w:pPr>
      <w:r>
        <w:t>（四）测量检索质量，弄清适用经验在哪里被漏掉</w:t>
      </w:r>
      <w:bookmarkEnd w:id="5"/>
    </w:p>
    <w:p>
      <w:r>
        <w:t>已保存914个题卡对的AI适用性标签，其中AI初标89对直接适用、153对冲突，人工确认仍为0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。这些标签可用于准备复核，不能当作正式人工测量。候选池中的召回率只回答“在已标注的候选卡中漏掉多少”，也不等于完整1939卡库的召回率。</w:t>
      </w:r>
    </w:p>
    <w:p>
      <w:pPr>
        <w:ind w:firstLine="0"/>
      </w:pPr>
      <w:r>
        <w:t>证据对应：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支撑“标签已有、正式测量未完成”，不支撑“检索已经准确”或“全库没有合适卡”。</w:t>
      </w:r>
    </w:p>
    <w:p>
      <w:bookmarkStart w:id="6" w:name="todo"/>
      <w:pPr>
        <w:pStyle w:val="Heading1"/>
      </w:pPr>
      <w:r>
        <w:t>二、截至本周期末的待做实验</w:t>
      </w:r>
      <w:bookmarkEnd w:id="6"/>
    </w:p>
    <w:p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>
      <w:bookmarkStart w:id="7" w:name="t1"/>
      <w:pPr>
        <w:pStyle w:val="Heading2"/>
      </w:pPr>
      <w:r>
        <w:t>【T1】完成在线强化学习的D_grow剩余任务</w:t>
      </w:r>
      <w:bookmarkEnd w:id="7"/>
    </w:p>
    <w:p>
      <w:r>
        <w:t>当周状态：10月20日至21日安排的在线强化链；D_init已完成303题，D_grow完成23/273题，余250题。10月21日22:26按当时的实验安排暂停，未决请求与旧记录保留。</w:t>
      </w:r>
    </w:p>
    <w:p>
      <w:r>
        <w:t>实验原因：回应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。只有完成预定D_grow学习，才能评价这次“先D_init、再D_grow”的强化后状态；当前23题前缀不能代替全273题结果。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在后续明确恢复时，核对已完成前缀、保存Q状态和未决请求，避免重复执行已完成付费题。</w:t>
      </w:r>
    </w:p>
    <w:p>
      <w:pPr>
        <w:ind w:firstLine="0" w:left="360"/>
        <w:numPr>
          <w:ilvl w:val="0"/>
          <w:numId w:val="10"/>
        </w:numPr>
      </w:pPr>
      <w:r>
        <w:t>按当时固定顺序继续剩余D_grow题，保持原模型、最多三卡、Q参与排序及实际采用卡更新规则。</w:t>
      </w:r>
    </w:p>
    <w:p>
      <w:pPr>
        <w:ind w:firstLine="0" w:left="360"/>
        <w:numPr>
          <w:ilvl w:val="0"/>
          <w:numId w:val="10"/>
        </w:numPr>
      </w:pPr>
      <w:r>
        <w:t>完成后保存最终冻结Q，汇总273题Joint、完整测量、反馈覆盖及成本，并在实际完成所属的后续周登记新增部分。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8" w:name="t2"/>
      <w:pPr>
        <w:pStyle w:val="Heading2"/>
      </w:pPr>
      <w:r>
        <w:t>【T2】用强化后的冻结Q完成全D_gate对照</w:t>
      </w:r>
      <w:bookmarkEnd w:id="8"/>
    </w:p>
    <w:p>
      <w:r>
        <w:t>当周状态：已安排在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之后，期末新Q2与新Q3均未执行；已有旧冻结Q四组结果保留为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，不是强化后结果。</w:t>
      </w:r>
    </w:p>
    <w:p>
      <w:r>
        <w:t>实验原因：回应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和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。学习过程中的表现不能替代冻结后迁移表现，必须检验相同CWE下不同题族是否真正受益。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固定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完成后的经验正文和Q快照，评价期间不更新经验或Q。</w:t>
      </w:r>
    </w:p>
    <w:p>
      <w:pPr>
        <w:ind w:firstLine="0" w:left="360"/>
        <w:numPr>
          <w:ilvl w:val="0"/>
          <w:numId w:val="11"/>
        </w:numPr>
      </w:pPr>
      <w:r>
        <w:t>按原计划对全298题比较Q0原CLE、Q1纯相似度、Q2学习Q、Q3同CWE打乱Q；Q0／Q1仅在输入和协议一致时复用。</w:t>
      </w:r>
    </w:p>
    <w:p>
      <w:pPr>
        <w:ind w:firstLine="0" w:left="360"/>
        <w:numPr>
          <w:ilvl w:val="0"/>
          <w:numId w:val="11"/>
        </w:numPr>
      </w:pPr>
      <w:r>
        <w:t>比较同题Joint救回与损失，核对新卡编号、实际采用和代码落实；报告完整测量、费用及未知用量，区分旧Q成绩与新Q成绩。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9" w:name="t3"/>
      <w:pPr>
        <w:pStyle w:val="Heading2"/>
      </w:pPr>
      <w:r>
        <w:t>【T3】人工复核检索标签并形成正式四指标</w:t>
      </w:r>
      <w:bookmarkEnd w:id="9"/>
    </w:p>
    <w:p>
      <w:r>
        <w:t>当周状态：由10月17日前后检索测量计划形成；AI初标已保存，人工确认未完成。</w:t>
      </w:r>
    </w:p>
    <w:p>
      <w:r>
        <w:t>实验原因：回应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。只有明确哪些卡直接适用于哪道题，才能计算选卡是否准确以及遗漏了多少适用卡。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对照公开题面、上下文和经验正文，复核已有题卡对，隐藏方法名、排名和Q，避免按成绩反推标签。</w:t>
      </w:r>
    </w:p>
    <w:p>
      <w:pPr>
        <w:ind w:firstLine="0" w:left="360"/>
        <w:numPr>
          <w:ilvl w:val="0"/>
          <w:numId w:val="12"/>
        </w:numPr>
      </w:pPr>
      <w:r>
        <w:t>逐对确认五类标签并裁决信息不足项，保留AI标签与人工标签两份记录。</w:t>
      </w:r>
    </w:p>
    <w:p>
      <w:pPr>
        <w:ind w:firstLine="0" w:left="360"/>
        <w:numPr>
          <w:ilvl w:val="0"/>
          <w:numId w:val="12"/>
        </w:numPr>
      </w:pPr>
      <w:r>
        <w:t>计算共同候选池内准确率、精确率、召回率和F1，分开报告候选召回与最终选入；全库召回率仍标为未测量。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前往详细实验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【A1】覆盖与学习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【A2】全量迁移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【A3】选卡作用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【A4】失败原因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【A5】检索标签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【A6】期末状态</w:t>
        </w:r>
      </w:hyperlink>
      <w:r>
        <w:t>。</w:t>
      </w:r>
    </w:p>
    <w:p>
      <w:bookmarkStart w:id="11" w:name="a1"/>
      <w:pPr>
        <w:pStyle w:val="Heading2"/>
        <w:pageBreakBefore/>
      </w:pPr>
      <w:r>
        <w:t>【A1】扩大实际反馈覆盖与D_grow同题回测</w:t>
      </w:r>
      <w:bookmarkEnd w:id="11"/>
    </w:p>
    <w:p>
      <w:pPr>
        <w:pStyle w:val="Heading3"/>
      </w:pPr>
      <w:r>
        <w:t>1. 实验思路</w:t>
      </w:r>
    </w:p>
    <w:p>
      <w:r>
        <w:t>针对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，保持卡片正文不变，让模型实际做题、使用经验，再用测试结果更新采用卡的Q。Q是经验历史作用的数值估计，visits是合格反馈次数；未获得反馈的卡不等于质量差。通过解除三卡上限和补充D_init来源题，观察限制来自选卡数量、覆盖范围还是实际采用资格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以1939张固定卡作为分母，读取各学习链的初始Q、采用记录和有效奖励资格；原结果保留。</w:t>
      </w:r>
    </w:p>
    <w:p>
      <w:pPr>
        <w:ind w:firstLine="0" w:left="360"/>
        <w:numPr>
          <w:ilvl w:val="0"/>
          <w:numId w:val="13"/>
        </w:numPr>
      </w:pPr>
      <w:r>
        <w:t>对D_grow全273题进行不限三卡观察学习，Q随合格反馈更新；冻结后再做同题回测，使用学得Q参与选择。</w:t>
      </w:r>
    </w:p>
    <w:p>
      <w:pPr>
        <w:ind w:firstLine="0" w:left="360"/>
        <w:numPr>
          <w:ilvl w:val="0"/>
          <w:numId w:val="13"/>
        </w:numPr>
      </w:pPr>
      <w:r>
        <w:t>结合32道修复后D_grow题、D_init限三卡及不限三卡学习，登记每次结束时获得反馈的卡数；不同链的清理与继承关系分别保存。</w:t>
      </w:r>
    </w:p>
    <w:p>
      <w:pPr>
        <w:ind w:firstLine="0" w:left="360"/>
        <w:numPr>
          <w:ilvl w:val="0"/>
          <w:numId w:val="13"/>
        </w:numPr>
      </w:pPr>
      <w:r>
        <w:t>对比Joint、卡片覆盖与实际更新数，不把“检索过”“选中过”直接当作“获得Q反馈”。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各历史快照中获得反馈的卡数；快照条件不同，不代表同一方案逐轮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各历史快照中获得反馈的卡数；快照条件不同，不代表同一方案逐轮收益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>
      <w:pPr>
        <w:spacing w:after="0"/>
      </w:pPr>
    </w:p>
    <w:p>
      <w:r>
        <w:t>主要覆盖快照为466/1939、清理后416/1939、补32题后436/1939、D_init限三卡后669/1939、不限三卡后926/1939、在线D_init后967/1939，期末D_grow 23题后972/1939。</w:t>
      </w:r>
    </w:p>
    <w:p>
      <w:pPr>
        <w:pStyle w:val="Heading3"/>
      </w:pPr>
      <w:r>
        <w:t>4. 实验分析</w:t>
      </w:r>
    </w:p>
    <w:p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10月22日定稿重组版的学习记录</w:t>
        </w:r>
      </w:hyperlink>
      <w:r>
        <w:t>。本节为历史结果整理，没有重新学习。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2" w:name="a2"/>
      <w:pPr>
        <w:pStyle w:val="Heading2"/>
      </w:pPr>
      <w:r>
        <w:t>【A2】旧冻结Q在全298题D_gate上的四组对照</w:t>
      </w:r>
      <w:bookmarkEnd w:id="12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，用原CLE模型选卡、纯相似度、学习Q和打乱Q分别做相同任务。打乱Q保留同CWE内评分分布，破坏评分与具体卡的对应关系，用于判断收益是否来自学得的对应关系，而不只是任意换序。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固定当次旧经验与Q快照，使用同298道D_gate题和原P7最多三卡、最多一次修复及原验证器。</w:t>
      </w:r>
    </w:p>
    <w:p>
      <w:pPr>
        <w:ind w:firstLine="0" w:left="360"/>
        <w:numPr>
          <w:ilvl w:val="0"/>
          <w:numId w:val="14"/>
        </w:numPr>
      </w:pPr>
      <w:r>
        <w:t>比较Q0原CLE、Q1纯相似度、Q2学习Q、Q3同CWE内打乱Q，评价期间冻结Q。</w:t>
      </w:r>
    </w:p>
    <w:p>
      <w:pPr>
        <w:ind w:firstLine="0" w:left="360"/>
        <w:numPr>
          <w:ilvl w:val="0"/>
          <w:numId w:val="14"/>
        </w:numPr>
      </w:pPr>
      <w:r>
        <w:t>按计划分母统计F、S、Joint，同时单列缺测；再在共同完整的296题上比较救回与损失。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2" name="Picture 2" descr="图2 旧冻结Q全D_gate结果；Q2有2题未完整测量，未计为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旧冻结Q全D_gate结果；Q2有2题未完整测量，未计为通过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102（34.23%）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>
      <w:pPr>
        <w:spacing w:after="0"/>
      </w:pPr>
    </w:p>
    <w:p>
      <w:r>
        <w:t>共同296题上，Q2相对Q0救回16题、损失10题；相对Q1救回13题、损失14题；相对Q3救回14题、损失12题。对应配对差区间均跨过0。</w:t>
      </w:r>
    </w:p>
    <w:p>
      <w:pPr>
        <w:pStyle w:val="Heading3"/>
      </w:pPr>
      <w:r>
        <w:t>4. 实验分析</w:t>
      </w:r>
    </w:p>
    <w:p>
      <w:r>
        <w:t>图2中学习Q比原CLE和打乱Q略高，比纯相似度略低，且同题救回与损失相互抵消。因此，本次旧对照没有建立学习Q的稳定增益。它覆盖298题名单，但学习Q组有2题缺测，是带缺测的全量名单证据，不能被小样本较好结果替换；也不能证明所有Q学习方法都无效。本次使用的是较早冻结状态，不是期末972张卡有反馈的强化后状态，后者还需要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和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</w:t>
        </w:r>
      </w:hyperlink>
      <w:r>
        <w:t>才形成完整比较。</w:t>
      </w:r>
    </w:p>
    <w:p>
      <w:pPr>
        <w:ind w:firstLine="0"/>
      </w:pPr>
      <w:r>
        <w:t>原始证据：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全D_gate汇总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3" w:name="a3"/>
      <w:pPr>
        <w:pStyle w:val="Heading2"/>
      </w:pPr>
      <w:r>
        <w:t>【A3】重复选卡与D_init选择变化的交叉分析</w:t>
      </w:r>
      <w:bookmarkEnd w:id="13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，先暂时不生成代码，只重复选卡以测量模型自身波动；再在D_init真实代码记录中对齐卡片编号、采用声明和Joint，检查影响是否沿“改选—采用—结果”传递。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固定8题及候选，对四组各重复选卡5次，共160次，不更新Q、不生成代码。</w:t>
      </w:r>
    </w:p>
    <w:p>
      <w:pPr>
        <w:ind w:firstLine="0" w:left="360"/>
        <w:numPr>
          <w:ilvl w:val="0"/>
          <w:numId w:val="15"/>
        </w:numPr>
      </w:pPr>
      <w:r>
        <w:t>分别计算同组重复差异与Q条件间差异，避免仅看到一次选择不同就归因于Q。</w:t>
      </w:r>
    </w:p>
    <w:p>
      <w:pPr>
        <w:ind w:firstLine="0" w:left="360"/>
        <w:numPr>
          <w:ilvl w:val="0"/>
          <w:numId w:val="15"/>
        </w:numPr>
      </w:pPr>
      <w:r>
        <w:t>对齐D_init 303题中可比较的296题，按选入成员是否变化、是否采用新增成员及Joint救回／损失分组。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3" name="Picture 3" descr="图3 D_init可比较题的选卡变化，以及采用新增成员子集的Joint救回和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D_init可比较题的选卡变化，以及采用新增成员子集的Joint救回和损失</w:t>
      </w:r>
    </w:p>
    <w:p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>
      <w:pPr>
        <w:pStyle w:val="Heading3"/>
      </w:pPr>
      <w:r>
        <w:t>4. 实验分析</w:t>
      </w:r>
    </w:p>
    <w:p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>
      <w:pPr>
        <w:ind w:firstLine="0"/>
      </w:pPr>
      <w:r>
        <w:t>原始证据：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重复选卡汇总</w:t>
        </w:r>
      </w:hyperlink>
      <w: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D_init交叉分析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4" w:name="a4"/>
      <w:pPr>
        <w:pStyle w:val="Heading2"/>
      </w:pPr>
      <w:r>
        <w:t>【A4】18道损失题的代码与契约复盘</w:t>
      </w:r>
      <w:bookmarkEnd w:id="14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，比较同题前后代码，解释测试失败究竟发生在哪里。该分析使用本周保存结果，解释文字来自后续定稿复盘；局部修改仅用于验证原因，不替换原模型输出和正式成绩。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从在线D_init与指定旧参照的配对结果提取原通过、后失败的18题，保留前后代码、卡片和验证日志。</w:t>
      </w:r>
    </w:p>
    <w:p>
      <w:pPr>
        <w:ind w:firstLine="0" w:left="360"/>
        <w:numPr>
          <w:ilvl w:val="0"/>
          <w:numId w:val="16"/>
        </w:numPr>
      </w:pPr>
      <w:r>
        <w:t>检查是否重定义题目已有配置、替换传入对象、缺少公开要求，或遇到资源与网络问题。</w:t>
      </w:r>
    </w:p>
    <w:p>
      <w:pPr>
        <w:ind w:firstLine="0" w:left="360"/>
        <w:numPr>
          <w:ilvl w:val="0"/>
          <w:numId w:val="16"/>
        </w:numPr>
      </w:pPr>
      <w:r>
        <w:t>对可定位的问题做零API最小代码或契约诊断，单独保存复验结果；不把人工修复后的代码计作模型正式通过。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4" name="Picture 4" descr="图4 18道损失题的诊断分类；这是失败定位，不是18个已证明的Q因果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lo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18道损失题的诊断分类；这是失败定位，不是18个已证明的Q因果损失</w:t>
      </w:r>
    </w:p>
    <w:p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>
      <w:pPr>
        <w:pStyle w:val="Heading3"/>
      </w:pPr>
      <w:r>
        <w:t>4. 实验分析</w:t>
      </w:r>
    </w:p>
    <w:p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已定稿复盘中的损失题及局部诊断</w:t>
        </w:r>
      </w:hyperlink>
      <w:r>
        <w:t>。本节不改变10月21日原始结果。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5"/>
      <w:pPr>
        <w:pStyle w:val="Heading2"/>
      </w:pPr>
      <w:r>
        <w:t>【A5】检索题卡标签与正式测量缺口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，以“题目—卡片对”为测量对象，判断经验能否直接适用于题目。只有先得到适用性标签，才能区分正确选入、错误选入和漏选；原题能检索回自身来源卡，不代表对新题的检索精度与召回率良好。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用原题、初析和组合查询形成共同候选池，保留合法卡过滤并纳入固定抽取的未召回卡。</w:t>
      </w:r>
    </w:p>
    <w:p>
      <w:pPr>
        <w:ind w:firstLine="0" w:left="360"/>
        <w:numPr>
          <w:ilvl w:val="0"/>
          <w:numId w:val="17"/>
        </w:numPr>
      </w:pPr>
      <w:r>
        <w:t>保存AI五类初标：直接适用、有条件适用、无关、冲突和信息不足，同时保留判断依据。</w:t>
      </w:r>
    </w:p>
    <w:p>
      <w:pPr>
        <w:ind w:firstLine="0" w:left="360"/>
        <w:numPr>
          <w:ilvl w:val="0"/>
          <w:numId w:val="17"/>
        </w:numPr>
      </w:pPr>
      <w:r>
        <w:t>导出人工复核材料，正式四指标只使用完成裁决的标签；分母为零时写未定义及原因。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已保存914个AI题卡标签；人工确认仍为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ab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已保存914个AI题卡标签；人工确认仍为0</w:t>
      </w:r>
    </w:p>
    <w:p>
      <w:r>
        <w:t>直接适用89对，有条件适用385对，无关285对，冲突153对，信息不足2对，合计914对。上述数量是模型辅助标签分布，不能据此直接宣称检索准确率为89/914。</w:t>
      </w:r>
    </w:p>
    <w:p>
      <w:pPr>
        <w:pStyle w:val="Heading3"/>
      </w:pPr>
      <w:r>
        <w:t>4. 实验分析</w:t>
      </w:r>
    </w:p>
    <w:p>
      <w:r>
        <w:t>图5反映的是AI初标的分布：模型认为不少卡需要附加前提，也标出了一些可能冲突的候选。这些判断尚未经过人工确认，不能直接当成卡片真实质量。模型选卡和Q排序发生在候选形成之后，因此如果适用卡没有进入候选，后续选卡也无法使用它。即使候选池标注完成，也只能计算候选池内召回率；整个1939卡库未完整标注，全库召回率仍未测量。主线在这一环缺的是有效分母，而不是再增加一个成绩百分比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检索标签与指标口径</w:t>
        </w:r>
      </w:hyperlink>
      <w: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6" w:name="a6"/>
      <w:pPr>
        <w:pStyle w:val="Heading2"/>
      </w:pPr>
      <w:r>
        <w:t>【A6】期末在线强化链的完成范围</w:t>
      </w:r>
      <w:bookmarkEnd w:id="16"/>
    </w:p>
    <w:p>
      <w:pPr>
        <w:pStyle w:val="Heading3"/>
      </w:pPr>
      <w:r>
        <w:t>1. 实验思路</w:t>
      </w:r>
    </w:p>
    <w:p>
      <w:r>
        <w:t>该项核对回答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中“是否已经完成强化和迁移”。以10月21日22:26的实际暂停记录为时间锚点，将已完成题、待做题、未决请求和费用分开，避免把之后的计划写成本周结果。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读取暂停快照及各阶段保存的summary，核对执行数、完整测量和Q覆盖。</w:t>
      </w:r>
    </w:p>
    <w:p>
      <w:pPr>
        <w:ind w:firstLine="0" w:left="360"/>
        <w:numPr>
          <w:ilvl w:val="0"/>
          <w:numId w:val="18"/>
        </w:numPr>
      </w:pPr>
      <w:r>
        <w:t>将D_init完成、D_grow部分完成、强化后D_gate未开始分别登记；早期D_gate结果仍归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 w:left="360"/>
        <w:numPr>
          <w:ilvl w:val="0"/>
          <w:numId w:val="18"/>
        </w:numPr>
      </w:pPr>
      <w:r>
        <w:t>按快照记录已知Token与未决请求，不从未知请求估计实际扣费，不再次发送请求。</w:t>
      </w:r>
    </w:p>
    <w:p>
      <w:pPr>
        <w:pStyle w:val="Heading3"/>
      </w:pPr>
      <w:r>
        <w:t>3. 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>
      <w:pPr>
        <w:spacing w:after="0"/>
      </w:pPr>
    </w:p>
    <w:p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>
      <w:pPr>
        <w:pStyle w:val="Heading3"/>
      </w:pPr>
      <w:r>
        <w:t>4. 实验分析</w:t>
      </w:r>
    </w:p>
    <w:p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当时的实验安排暂停，而不是低分自动终止。10月26日提出的全量验证优先规则属于后一周，不能倒写为本周已经按该新规则完成。</w:t>
      </w:r>
    </w:p>
    <w:p>
      <w:pPr>
        <w:ind w:firstLine="0"/>
      </w:pPr>
      <w:r>
        <w:t>原始证据：</w:t>
      </w:r>
      <w:hyperlink r:id="rId20" w:history="1">
        <w:r>
          <w:rPr>
            <w:color w:val="000000"/>
            <w:u w:val="single"/>
            <w:rFonts w:eastAsia="宋体" w:ascii="Times New Roman" w:hAnsi="Times New Roman"/>
          </w:rPr>
          <w:t>10月21日22:26暂停快照</w:t>
        </w:r>
      </w:hyperlink>
      <w: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7" w:name="next"/>
      <w:pPr>
        <w:pStyle w:val="Heading1"/>
      </w:pPr>
      <w:r>
        <w:t>四、本期判断与跨周结转</w:t>
      </w:r>
      <w:bookmarkEnd w:id="17"/>
    </w:p>
    <w:p>
      <w:r>
        <w:t>本期最明确的结果是Q已经影响实际选卡，增加反馈范围也提高了Q覆盖，但旧冻结Q全量迁移没有建立稳定提分。代码复盘进一步指出，公开契约、来源假设和模型实现是需要分别处理的问题。未完成的在线D_grow、强化后D_gate和人工检索标签按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至</w:t>
      </w:r>
      <w:hyperlink w:anchor="t3" w:history="1">
        <w:r>
          <w:rPr>
            <w:color w:val="000000"/>
            <w:u w:val="single"/>
            <w:rFonts w:eastAsia="宋体" w:ascii="Times New Roman" w:hAnsi="Times New Roman"/>
          </w:rPr>
          <w:t>【T3】</w:t>
        </w:r>
      </w:hyperlink>
      <w:r>
        <w:t>保留期末状态。</w:t>
      </w:r>
    </w:p>
    <w:p>
      <w:r>
        <w:t>下一周期为10月22日至28日。之后的换模、功能安全拆分、记忆程度分类器和两模型交叉要求均应在其提出所属周登记；后续成果不能回填本期未完成项。后一周已有进展见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10月22日至28日周中稿</w:t>
        </w:r>
      </w:hyperlink>
      <w:r>
        <w:t>。这条跨周链接便于追踪，保留本期当时的结果和任务状态。</w:t>
      </w:r>
    </w:p>
    <w:p>
      <w:pPr>
        <w:pStyle w:val="Heading1"/>
      </w:pPr>
      <w:r>
        <w:t>五、来源与版本说明</w:t>
      </w:r>
    </w:p>
    <w:p>
      <w:r>
        <w:t>本版将10月22日已定稿的历史实验材料按指定首期重新组织，原Word及原导航版完整保留。实验数字沿用原记录，后续解释明确标为复盘；本次未调用模型、未修订正式成绩。日期划分和历史待做处理遵循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周报周期规则</w:t>
        </w:r>
      </w:hyperlink>
      <w:r>
        <w:t>，当前模板为v03。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research/reports/CLE-RPT-20261022-Q-week-v02/CLE-RPT-20261022-Q-week-v02.md" TargetMode="External"/><Relationship Id="rId13" Type="http://schemas.openxmlformats.org/officeDocument/2006/relationships/image" Target="media/image2.png"/><Relationship Id="rId14" Type="http://schemas.openxmlformats.org/officeDocument/2006/relationships/hyperlink" Target="file:///D:/Agent/sct-security-generation/results/curated/cle_memory_q_full_gate_cap3_20261019/summary.json" TargetMode="External"/><Relationship Id="rId15" Type="http://schemas.openxmlformats.org/officeDocument/2006/relationships/image" Target="media/image3.png"/><Relationship Id="rId16" Type="http://schemas.openxmlformats.org/officeDocument/2006/relationships/hyperlink" Target="file:///D:/Agent/sct-security-generation/results/curated/cle_selector_repeat_20261019/summary.json" TargetMode="External"/><Relationship Id="rId17" Type="http://schemas.openxmlformats.org/officeDocument/2006/relationships/hyperlink" Target="file:///D:/Agent/sct-security-generation/results/curated/cle_q_dinit_selection_joint_20261021/summary.json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file:///D:/Agent/sct-security-generation/translation_work/diagnostics/20261020/cle_q_online_v1/pause_by_user_20261021.json" TargetMode="External"/><Relationship Id="rId21" Type="http://schemas.openxmlformats.org/officeDocument/2006/relationships/hyperlink" Target="file:///D:/Agent/sct-security-generation/docs/research/reports/CLE-RPT-20261022-20261028-weekly-v03/CLE-RPT-20261022-20261028-weekly-v03.md" TargetMode="External"/><Relationship Id="rId22" Type="http://schemas.openxmlformats.org/officeDocument/2006/relationships/hyperlink" Target="file:///D:/Agent/sct-security-generation/docs/research/weekly_reporting_calenda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