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664AB">
      <w:pPr>
        <w:pStyle w:val="31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CLE已做与未做实验清单</w:t>
      </w:r>
    </w:p>
    <w:p w14:paraId="409104F0">
      <w:r>
        <w:rPr>
          <w:rFonts w:ascii="Times New Roman" w:hAnsi="Times New Roman" w:eastAsia="宋体"/>
          <w:b w:val="0"/>
          <w:color w:val="000000"/>
          <w:sz w:val="24"/>
        </w:rPr>
        <w:t>本清单把历史已完成实验、本轮部分完成实验、尚未开始的实验和旧模型停用后的结束项分开。进度依据10月28日10:35保存的运行记录；技术探针和恢复段合并到所属实验，不重复列为独立研究。</w:t>
      </w:r>
    </w:p>
    <w:p w14:paraId="7D868C22">
      <w:r>
        <w:rPr>
          <w:rFonts w:ascii="Times New Roman" w:hAnsi="Times New Roman" w:eastAsia="宋体"/>
          <w:b w:val="0"/>
          <w:color w:val="000000"/>
          <w:sz w:val="24"/>
        </w:rPr>
        <w:t>阅读说明：经验卡是可复用的做题建议，Q是卡片根据历史反馈获得的评分。初始化集303题用于建立起点，增长集273题用于学习，审计集298题用于检验迁移。Joint指同一份代码同时通过功能与安全测试；同题两次重复是两次运行，不是两道新题。</w:t>
      </w:r>
    </w:p>
    <w:p w14:paraId="4074F0B0">
      <w:p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当前共列37项：历史及阶段已完成21项，部分完成2项，已安排未开始12项，旧模型停用项2项。</w:t>
      </w:r>
    </w:p>
    <w:p w14:paraId="2AE52CC8">
      <w:r>
        <w:rPr>
          <w:rFonts w:hint="eastAsia"/>
          <w:b w:val="0"/>
          <w:color w:val="000000"/>
          <w:sz w:val="24"/>
          <w:lang w:val="en-US" w:eastAsia="zh-CN"/>
        </w:rPr>
        <w:t>实验分类：</w:t>
      </w:r>
      <w:bookmarkStart w:id="4" w:name="_GoBack"/>
      <w:bookmarkEnd w:id="4"/>
      <w:r>
        <w:fldChar w:fldCharType="begin"/>
      </w:r>
      <w:r>
        <w:instrText xml:space="preserve"> HYPERLINK \l "section_1" </w:instrText>
      </w:r>
      <w:r>
        <w:fldChar w:fldCharType="separate"/>
      </w:r>
      <w:r>
        <w:rPr>
          <w:rFonts w:ascii="Times New Roman" w:hAnsi="Times New Roman" w:eastAsia="宋体"/>
          <w:color w:val="225B86"/>
          <w:sz w:val="24"/>
        </w:rPr>
        <w:t>已完成的历史实验与分析</w:t>
      </w:r>
      <w:r>
        <w:rPr>
          <w:rFonts w:ascii="Times New Roman" w:hAnsi="Times New Roman" w:eastAsia="宋体"/>
          <w:color w:val="225B86"/>
          <w:sz w:val="24"/>
        </w:rPr>
        <w:fldChar w:fldCharType="end"/>
      </w:r>
      <w:r>
        <w:rPr>
          <w:rFonts w:ascii="Times New Roman" w:hAnsi="Times New Roman" w:eastAsia="宋体"/>
          <w:b w:val="0"/>
          <w:color w:val="000000"/>
          <w:sz w:val="24"/>
        </w:rPr>
        <w:t>　</w:t>
      </w:r>
      <w:r>
        <w:fldChar w:fldCharType="begin"/>
      </w:r>
      <w:r>
        <w:instrText xml:space="preserve"> HYPERLINK \l "section_2" </w:instrText>
      </w:r>
      <w:r>
        <w:fldChar w:fldCharType="separate"/>
      </w:r>
      <w:r>
        <w:rPr>
          <w:rFonts w:ascii="Times New Roman" w:hAnsi="Times New Roman" w:eastAsia="宋体"/>
          <w:color w:val="225B86"/>
          <w:sz w:val="24"/>
        </w:rPr>
        <w:t>已启动但尚未完成的实验</w:t>
      </w:r>
      <w:r>
        <w:rPr>
          <w:rFonts w:ascii="Times New Roman" w:hAnsi="Times New Roman" w:eastAsia="宋体"/>
          <w:color w:val="225B86"/>
          <w:sz w:val="24"/>
        </w:rPr>
        <w:fldChar w:fldCharType="end"/>
      </w:r>
      <w:r>
        <w:rPr>
          <w:rFonts w:ascii="Times New Roman" w:hAnsi="Times New Roman" w:eastAsia="宋体"/>
          <w:b w:val="0"/>
          <w:color w:val="000000"/>
          <w:sz w:val="24"/>
        </w:rPr>
        <w:t>　</w:t>
      </w:r>
      <w:r>
        <w:fldChar w:fldCharType="begin"/>
      </w:r>
      <w:r>
        <w:instrText xml:space="preserve"> HYPERLINK \l "section_3" </w:instrText>
      </w:r>
      <w:r>
        <w:fldChar w:fldCharType="separate"/>
      </w:r>
      <w:r>
        <w:rPr>
          <w:rFonts w:ascii="Times New Roman" w:hAnsi="Times New Roman" w:eastAsia="宋体"/>
          <w:color w:val="225B86"/>
          <w:sz w:val="24"/>
        </w:rPr>
        <w:t>已安排但尚未开始的实验</w:t>
      </w:r>
      <w:r>
        <w:rPr>
          <w:rFonts w:ascii="Times New Roman" w:hAnsi="Times New Roman" w:eastAsia="宋体"/>
          <w:color w:val="225B86"/>
          <w:sz w:val="24"/>
        </w:rPr>
        <w:fldChar w:fldCharType="end"/>
      </w:r>
      <w:r>
        <w:rPr>
          <w:rFonts w:ascii="Times New Roman" w:hAnsi="Times New Roman" w:eastAsia="宋体"/>
          <w:b w:val="0"/>
          <w:color w:val="000000"/>
          <w:sz w:val="24"/>
        </w:rPr>
        <w:t>　</w:t>
      </w:r>
      <w:r>
        <w:fldChar w:fldCharType="begin"/>
      </w:r>
      <w:r>
        <w:instrText xml:space="preserve"> HYPERLINK \l "section_4" </w:instrText>
      </w:r>
      <w:r>
        <w:fldChar w:fldCharType="separate"/>
      </w:r>
      <w:r>
        <w:rPr>
          <w:rFonts w:ascii="Times New Roman" w:hAnsi="Times New Roman" w:eastAsia="宋体"/>
          <w:color w:val="225B86"/>
          <w:sz w:val="24"/>
        </w:rPr>
        <w:t>因旧模型停用而不再执行的原计划</w:t>
      </w:r>
      <w:r>
        <w:rPr>
          <w:rFonts w:ascii="Times New Roman" w:hAnsi="Times New Roman" w:eastAsia="宋体"/>
          <w:color w:val="225B86"/>
          <w:sz w:val="24"/>
        </w:rPr>
        <w:fldChar w:fldCharType="end"/>
      </w:r>
    </w:p>
    <w:p w14:paraId="0D02AB11">
      <w:pPr>
        <w:pStyle w:val="3"/>
      </w:pPr>
      <w:bookmarkStart w:id="0" w:name="section_1"/>
      <w:r>
        <w:rPr>
          <w:rFonts w:ascii="Times New Roman" w:hAnsi="Times New Roman" w:eastAsia="宋体"/>
          <w:b/>
          <w:color w:val="000000"/>
          <w:sz w:val="24"/>
        </w:rPr>
        <w:t>一 已完成的历史实验与分析</w:t>
      </w:r>
      <w:bookmarkEnd w:id="0"/>
    </w:p>
    <w:p w14:paraId="57227A86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名称：A01 旧模型在增长题上的不限三卡学习与回测</w:t>
      </w:r>
    </w:p>
    <w:p w14:paraId="5F5B743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检查解除三卡上限后，更多经验能否获得Q反馈，以及学到的Q能否帮助原题。</w:t>
      </w:r>
    </w:p>
    <w:p w14:paraId="617EF1EA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①在273道增长题上做题，不限制最多三张卡，让Q跟随实际采用记录学习；②冻结Q，在同273题上回测；③比较覆盖率和正确率。</w:t>
      </w:r>
    </w:p>
    <w:p w14:paraId="2E27B866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实测观察学习Joint为109/273，冻结回测为100/273，净少9题。对“扩大反馈范围”是正向结果，对“学得Q能提高同题正确率”是反向结果。说明让更多卡获得评分，并不会自动让排序更有用，后续必须把覆盖率与提分分开检验。</w:t>
      </w:r>
    </w:p>
    <w:p w14:paraId="5B94A917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名称：A02 旧模型在初始化题上的两种选卡上限学习</w:t>
      </w:r>
    </w:p>
    <w:p w14:paraId="086DE31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检查卡片来自初始化题时，扩大选卡数量能否增加反馈覆盖。</w:t>
      </w:r>
    </w:p>
    <w:p w14:paraId="02FCC9F2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①分别保留限三卡和不限三卡的学习记录；②让模型生成代码并记录实际采用；③只给符合奖励条件的采用卡更新Q。</w:t>
      </w:r>
    </w:p>
    <w:p w14:paraId="27739299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限三卡学习后的反馈卡为669/1939，不限三卡学习后为926/1939。两次学习结束时的覆盖差异，正向支撑扩大可反馈范围的目的。说明三卡上限是覆盖限制之一；这些快照的起始状态不同，不能把全部差额当成解除上限的独立收益。</w:t>
      </w:r>
    </w:p>
    <w:p w14:paraId="1C788FF7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名称：A03 旧模型在全审计集上的Q四组对照</w:t>
      </w:r>
    </w:p>
    <w:p w14:paraId="3643B7C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判断学习Q是否比原CLE、相似度和打乱Q更能选对经验。</w:t>
      </w:r>
    </w:p>
    <w:p w14:paraId="17B9594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①冻结当次卡库和Q；②在298题名单上运行原CLE、相似度、学习Q、同类漏洞内打乱Q四组；③按同题配对比较Joint。</w:t>
      </w:r>
    </w:p>
    <w:p w14:paraId="680B8E68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共同可测296题上，学习Q比原CLE净多6题，比相似度净少1题，比打乱Q净多2题。相对原CLE的结果为正向，相对相似度的结果为反向，配对差区间均跨0。说明这次学习Q没有达到稳定胜过强对照的目的，相似度和打乱Q都必须保留为参照。</w:t>
      </w:r>
    </w:p>
    <w:p w14:paraId="222C02FA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名称：A04 旧模型重复选卡与实际采用分析</w:t>
      </w:r>
    </w:p>
    <w:p w14:paraId="4E3398D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确认Q改变的是具体卡片编号，并检查变化是否超过模型自身波动。</w:t>
      </w:r>
    </w:p>
    <w:p w14:paraId="4A6B749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①固定8题及候选，四组各选卡5次，共160次；②比较组内波动和组间差异；③对齐初始化题的改选、采用和Joint记录。</w:t>
      </w:r>
    </w:p>
    <w:p w14:paraId="58A6F290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160次重复选择显示Q的影响超过组内波动。296道可比较题中281题改变卡片集合，其中225题采用新增成员，该子集Joint由103增至110。对“Q能改变具体选择并进入生成过程”是正向支撑；子集成绩不是随机对照的Q收益，后续仍需冻结比较。</w:t>
      </w:r>
    </w:p>
    <w:p w14:paraId="58D12370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名称：A05 十八道损失题的代码原因复盘</w:t>
      </w:r>
    </w:p>
    <w:p w14:paraId="168671FA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查明原来通过、后来失败的题，具体在哪一步出错。</w:t>
      </w:r>
    </w:p>
    <w:p w14:paraId="3254E32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①取出18题前后代码、题面、经验和验证记录；②逐题检查配置、传入对象和公开要求；③用保存代码进行局部复验。</w:t>
      </w:r>
    </w:p>
    <w:p w14:paraId="4237CC18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18题中，13题覆盖已有配置，2题缺公开契约，2题涉及资源策略，1题涉及网络；局部修正配置或契约后，相应题目恢复通过。对定位失败原因是正向支撑。说明主要可定位损失来自具体实现和验收条件，应先处理这些问题，再判断卡片评分的作用。</w:t>
      </w:r>
    </w:p>
    <w:p w14:paraId="7FDBFCDB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名称：A06 历史检索适用性比较与题面修复</w:t>
      </w:r>
    </w:p>
    <w:p w14:paraId="6478368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检查取出的经验是否适用，并修复影响做题和奖励的公开条件。</w:t>
      </w:r>
    </w:p>
    <w:p w14:paraId="69A92E4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①整理六组检索记录与AI标签；②核对102、136及后续修复题的原题、上下文和测试；③保留原数据，另存补齐后的契约并预检。</w:t>
      </w:r>
    </w:p>
    <w:p w14:paraId="4C743181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六组完成199道正式统计任务，AI估计的直接适用比例仅约9.1%至12.3%；题面修复已用于后续实验。低适用比例对“当前检索能稳定找到可用经验”给出反向结果，契约修复则正向支撑验收一致性。说明检索和题目条件都需要单独测量，人工复核后才能形成正式指标。</w:t>
      </w:r>
    </w:p>
    <w:p w14:paraId="5CE4A12B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名称：A07 新模型在PLT上的无经验基线</w:t>
      </w:r>
    </w:p>
    <w:p w14:paraId="6709719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得到DeepSeek v4.1 Flash 1017不使用经验时的完整做题参照。</w:t>
      </w:r>
    </w:p>
    <w:p w14:paraId="0CEE44F2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①在298道审计题上使用P3初析、规划和生成流程；②最多修订一次；③不输入经验、不生成新卡、不更新Q；④回放保存结果。</w:t>
      </w:r>
    </w:p>
    <w:p w14:paraId="781FCBB0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298题全部交付，297题完成测量；功能通过111题，安全通过232题，Joint通过96题。对建立新模型无经验参照是正向支撑。功能成绩明显低于安全成绩，说明后续主线应重点检查功能保持；带卡收益仍与同流程的P7空卡比较。</w:t>
      </w:r>
    </w:p>
    <w:p w14:paraId="1E04A475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名称：A08 新模型使用旧1939张卡的初步迁移对照</w:t>
      </w:r>
    </w:p>
    <w:p w14:paraId="34C363B3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判断旧卡库能否直接帮助新模型，并确认原P7接线可用。</w:t>
      </w:r>
    </w:p>
    <w:p w14:paraId="79A1C34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①固定12题，每题重复两次；②运行P7空卡和P7旧卡两组，共48次；③保持Q关闭；④核对采用与代码落实。</w:t>
      </w:r>
    </w:p>
    <w:p w14:paraId="30FEB2B6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空卡Joint为7/24，带卡为8/24；共同可测的23个配对均通过7次，带卡21/24次声明采用。对接线可用是正向支撑，对稳定提高正确率没有正向支撑。说明经验确实进入流程，但通过数增加集中在一个截断案例，不能只看采用率就判断经验有效。</w:t>
      </w:r>
    </w:p>
    <w:p w14:paraId="0CC09A1B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名称：A09 文件与签名关系提醒对照</w:t>
      </w:r>
    </w:p>
    <w:p w14:paraId="3727917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检查生成时明确文件和签名的对应关系，能否减少绑定错误。</w:t>
      </w:r>
    </w:p>
    <w:p w14:paraId="60B018AE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①固定同一题的初析和计划；②比较空卡或带卡，以及普通绑定提醒或关系提醒，共四种组合；③每组重复两次，共8次。</w:t>
      </w:r>
    </w:p>
    <w:p w14:paraId="57879919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四组Joint均为2/2，8次全部通过。对生成阶段能收到关系提醒是正向支撑，对提醒能减少错误的比较目的没有提供区分。说明本题原本就容易通过，应在后续完整比较中检验提醒，而不把这8次作为提分证据。</w:t>
      </w:r>
    </w:p>
    <w:p w14:paraId="4B30E27B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名称：A10 功能与安全经验表达的小范围五组比较</w:t>
      </w:r>
    </w:p>
    <w:p w14:paraId="1BC18C9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检查把功能建议和安全建议分开呈现，是否更能同时满足两类测试。</w:t>
      </w:r>
    </w:p>
    <w:p w14:paraId="63D6F25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①固定12个题族、各重复两次；②比较无卡、原卡、功能建议、安全建议、两类分开呈现，共120次；③保持来源卡一致并比较Joint。</w:t>
      </w:r>
    </w:p>
    <w:p w14:paraId="5ED67F71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无卡、原卡、功能建议、安全建议、分开呈现的Joint依次为12、13、13、12、9次，每组24次。分开呈现比原卡少4次，对“拆分即可改善Joint”给出反向结果。说明仅改变组织方式没有解决功能保持和建议落实，必须继续检查实际生成代码。</w:t>
      </w:r>
    </w:p>
    <w:p w14:paraId="1D42FE2F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名称：A11 带接口保护的来源经验开发对照</w:t>
      </w:r>
    </w:p>
    <w:p w14:paraId="4E6F3867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检查保留目标接口、限制来源假设迁移后，经验能否帮助生成。</w:t>
      </w:r>
    </w:p>
    <w:p w14:paraId="45C3E4B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①在12个题族上比较M1来源经验和无经验；②各重复两次，共48次；③记录经验注入、代码落实和同题救回或损失。</w:t>
      </w:r>
    </w:p>
    <w:p w14:paraId="743BD532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M1的Joint为14/24，无经验为11/24，救回5次、损失2次，净增3次。对开发阶段的来源经验方案是正向支撑，达到当时进入保留题确认的条件。说明保护目标接口后有值得继续验证的增量，因此按原计划进入A19，而不把开发结果直接当作最终结论。</w:t>
      </w:r>
    </w:p>
    <w:p w14:paraId="165E1404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名称：A12 生成阶段功能保持提醒对照</w:t>
      </w:r>
    </w:p>
    <w:p w14:paraId="5F4955D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判断仅加强生成提醒是否足以减少功能错误。</w:t>
      </w:r>
    </w:p>
    <w:p w14:paraId="7744655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①共享12个题族的前置分析和规划；②在生成阶段使用原模板及两种提醒模板；③各重复两次，共72次。</w:t>
      </w:r>
    </w:p>
    <w:p w14:paraId="0D6BADD3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原模板和两种提醒模板的Joint分别为10/24、10/24、11/24。P13与原模板持平，P22有1次正向增量；对减少错误，P13没有正向支撑，P22只支持这1次局部改善。说明单加提醒没有解决本批题的大多数失败，后续应检查目标接口和代码约束是否落实。</w:t>
      </w:r>
    </w:p>
    <w:p w14:paraId="3BE5E297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名称：A13 根据公开要求自生成检查的流程对照</w:t>
      </w:r>
    </w:p>
    <w:p w14:paraId="4D3D3211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判断让模型先写公开自检，能否减少与题目要求不符的代码。</w:t>
      </w:r>
    </w:p>
    <w:p w14:paraId="54D6AC88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①固定48个题族，各重复两次；②比较原P7和公开自检流程，共192次；③正式功能、安全测试只用于最终测量。</w:t>
      </w:r>
    </w:p>
    <w:p w14:paraId="4D00962E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原P7的Joint通过30次，公开自检通过28次；自检组功能通过增加5次，安全通过减少3次。对提高Joint的目的给出反向结果。错误自检会继续改坏已经安全转义的内容，说明自生成检查不能替代正式验证，功能增加也不能掩盖安全损失。</w:t>
      </w:r>
    </w:p>
    <w:p w14:paraId="593EDB41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名称：A14 五档经验详细程度比较</w:t>
      </w:r>
    </w:p>
    <w:p w14:paraId="1F9AD091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检查不提供经验、简短提醒、机制说明、操作模板和完整示例分别适合什么题。</w:t>
      </w:r>
    </w:p>
    <w:p w14:paraId="3F6B308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①固定48个题族，各重复两次；②比较五档经验，共480次；③保持合格来源一致，逐题比较Joint和采用。</w:t>
      </w:r>
    </w:p>
    <w:p w14:paraId="6EE1A146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五档Joint依次为44、46、44、47、42次，每档计划96次；31个题族的五档重复成功次数相同。对“部分题目会受经验详细程度影响”是正向支撑，对“信息越完整越好”是反向结果。说明应分析具体任务差异，不能统一使用最详细示例。</w:t>
      </w:r>
    </w:p>
    <w:p w14:paraId="723F80D6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名称：A15 基于真实做题结果的记忆程度分类器</w:t>
      </w:r>
    </w:p>
    <w:p w14:paraId="58C2EDA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判断根据公开题目特征选择经验档位，能否超过固定提醒和简单规则。</w:t>
      </w:r>
    </w:p>
    <w:p w14:paraId="4CE5EC7E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①只用训练题的真实结果产生标签；②按题族交叉验证，训练并冻结分类器；③在24个保留题族、两重复上比较三策略，共144个逻辑单元。</w:t>
      </w:r>
    </w:p>
    <w:p w14:paraId="441EAA91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19个训练题族产生可用标签；分类器、固定简短提醒、简单规则的Joint分别为21/48、22/48、19/48。分类器低于固定提醒，对超过简单策略的目的给出反向结果。说明本轮训练没有把题目特征转化为代码收益，应先补足稳定标签，再扩大模型复杂度。</w:t>
      </w:r>
    </w:p>
    <w:p w14:paraId="3A0A9BB0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名称：A16 新模型五次重复选卡的Q作用验证</w:t>
      </w:r>
    </w:p>
    <w:p w14:paraId="0F5DBE9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判断Q对新模型选卡的作用是否超过同一条件多次调用的波动。</w:t>
      </w:r>
    </w:p>
    <w:p w14:paraId="3552A4A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①固定8个题族的查询和共同候选；②原CLE、相似度、学习Q、打乱Q各重复选卡5次，共160次；③不生成代码、不更新Q。</w:t>
      </w:r>
    </w:p>
    <w:p w14:paraId="329EC3E8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160次选择全部有效，学习Q相对另外三组的卡片成员差异均通过预定机制检验。对“Q作用超过模型自己波动”是正向支撑。说明Q确实改变具体卡片编号，后续要检验采用与代码正确率，不能把排序变化本身当成提分。</w:t>
      </w:r>
    </w:p>
    <w:p w14:paraId="0F775DD0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名称：A17 新模型消费旧Q的四组代码比较</w:t>
      </w:r>
    </w:p>
    <w:p w14:paraId="4C78896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判断已经改变选卡的旧Q，能否进一步改善新模型最终代码。</w:t>
      </w:r>
    </w:p>
    <w:p w14:paraId="30ECABF3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①冻结旧1939卡及其Q；②固定24个题族、各重复两次；③比较四种选卡方式，共192次；④核对改选、采用、实现和Joint。</w:t>
      </w:r>
    </w:p>
    <w:p w14:paraId="5A35A29F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四组Joint依次为11/48、13/48、11/48、13/48；学习Q相对原CLE有46/48次首轮改选，32/48次采用新增成员。选卡干预得到正向支撑，提高正确率则得到反向结果。说明瓶颈已经进入经验适用性和代码落实，单纯增加改选次数不足以改善Joint。</w:t>
      </w:r>
    </w:p>
    <w:p w14:paraId="58A1C0E2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名称：A18 固定同一份代码后的经验编辑对照</w:t>
      </w:r>
    </w:p>
    <w:p w14:paraId="5B23356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将起点代码固定，单独检查经验是否帮助修改代码。</w:t>
      </w:r>
    </w:p>
    <w:p w14:paraId="0862AC1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①取6题在原卡组的首次代码；②比较带经验编辑和空经验编辑；③各重复两次，共24次；④使用原验证器检查修改后的代码。</w:t>
      </w:r>
    </w:p>
    <w:p w14:paraId="7A688A25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两组Joint均为6/12，功能通过均为7/12，安全通过均为9/12；带经验组有9/12次实际注入经验。对固定起点后经验能带来净编辑收益没有正向支撑。说明这批代码没有因经验输入而修得更好，经验进入输入与最终改对代码是两件事。</w:t>
      </w:r>
    </w:p>
    <w:p w14:paraId="2BAAAE5E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名称：A19 来源经验方案在保留题上的确认</w:t>
      </w:r>
    </w:p>
    <w:p w14:paraId="52BC03CD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检查开发阶段选出的M1方案，能否在另一批题上继续产生收益。</w:t>
      </w:r>
    </w:p>
    <w:p w14:paraId="796D6C9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①按预定开发规则选出M1；②固定24个保留题族，各重复两次；③比较M1和无经验，共96次；④分析配对结果与题族差异。</w:t>
      </w:r>
    </w:p>
    <w:p w14:paraId="1D5DC39A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M1的Joint为28/48，无经验为20/48，救回9次、损失1次，净增8次；题族精确检验p为0.078125。通过数对方案给出正向支撑，但未达到0.05的统计确认门槛。说明它应作为全量匹配验证的优先候选，现有结果不承担稳定优势的最终确认。</w:t>
      </w:r>
    </w:p>
    <w:p w14:paraId="1CC184E6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名称：A20 新模型初始化题全量Q学习</w:t>
      </w:r>
    </w:p>
    <w:p w14:paraId="6C9D37F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让新模型用自己的做题反馈为旧卡重新建立Q起点。</w:t>
      </w:r>
    </w:p>
    <w:p w14:paraId="0084E1D3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①固定1939张卡正文，Q和访问次数从零开始；②顺序完成303道初始化题；③仅给合格且实际采用的卡更新Q；④冻结为K0并回放。</w:t>
      </w:r>
    </w:p>
    <w:p w14:paraId="5F36A670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303次全部执行，301次完成测量，最终Joint通过148次；445/1939张卡获得反馈，覆盖22.95%，并冻结K0。对新模型能建立自己的Q起点是正向支撑。说明学习与记账链路已形成；学习期通过数只描述过程，Q是否有用由后续冻结对照判断。</w:t>
      </w:r>
    </w:p>
    <w:p w14:paraId="77AB074C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名称：A21 新模型增长题第一轮全量Q学习</w:t>
      </w:r>
    </w:p>
    <w:p w14:paraId="3EF3FCC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检查从初始化题迁移到增长题后，反馈覆盖能增加多少。</w:t>
      </w:r>
    </w:p>
    <w:p w14:paraId="1D153EFE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①从K0接续273道增长题；②保持单进程逐题更新Q；③全部题目均做，只有232道合格题授予Q反馈；④冻结为K1并回放。</w:t>
      </w:r>
    </w:p>
    <w:p w14:paraId="780C6AE3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结果分析：</w:t>
      </w:r>
      <w:r>
        <w:rPr>
          <w:rFonts w:ascii="Times New Roman" w:hAnsi="Times New Roman" w:eastAsia="宋体"/>
          <w:b w:val="0"/>
          <w:color w:val="000000"/>
          <w:sz w:val="24"/>
        </w:rPr>
        <w:t>273次全部执行，272次完成测量，最终Joint通过133次；反馈卡累计610/1939，覆盖31.46%，比K0增加165张。对跨题池扩展反馈范围是正向支撑。说明增长题接触了更多卡，下一轮需要判断这种扩展是否继续，以及新增评分能否提高冻结回测成绩。</w:t>
      </w:r>
    </w:p>
    <w:p w14:paraId="13416C7F">
      <w:pPr>
        <w:pStyle w:val="3"/>
        <w:pageBreakBefore/>
      </w:pPr>
      <w:bookmarkStart w:id="1" w:name="section_2"/>
      <w:r>
        <w:rPr>
          <w:rFonts w:ascii="Times New Roman" w:hAnsi="Times New Roman" w:eastAsia="宋体"/>
          <w:b/>
          <w:color w:val="000000"/>
          <w:sz w:val="24"/>
        </w:rPr>
        <w:t>二 已启动但尚未完成的实验</w:t>
      </w:r>
      <w:bookmarkEnd w:id="1"/>
    </w:p>
    <w:p w14:paraId="2DDC1508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名称：B01 新模型增长题第二轮Q学习 K2</w:t>
      </w:r>
    </w:p>
    <w:p w14:paraId="7695202C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检查重复做同一批增长题，Q是否继续覆盖新卡，还是集中重复奖励少数卡。</w:t>
      </w:r>
    </w:p>
    <w:p w14:paraId="3F26DB22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①从K1顺序再做273道增长题；②保留已有167题和成功响应；③补足剩余106题；④完成后冻结K2、回放并分析。</w:t>
      </w:r>
    </w:p>
    <w:p w14:paraId="0430D9AD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当前已做167/273题，Joint通过78次，反馈卡666张。对剩余106题，正向门槛是新增至少1张合格反馈卡，说明接触范围仍在扩大；反向门槛是新增卡为0、但旧卡仍持续收到反馈，说明覆盖趋于集中。两者只判断覆盖变化，Q的提分作用由冻结对照检验。</w:t>
      </w:r>
    </w:p>
    <w:p w14:paraId="5FABFC95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名称：B02 全298题功能与安全经验五组比较</w:t>
      </w:r>
    </w:p>
    <w:p w14:paraId="2E768BC2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用全量结果判断分开功能和安全经验，能否减少功能退化并提高Joint。</w:t>
      </w:r>
    </w:p>
    <w:p w14:paraId="5CE8E27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①在298题上比较无卡、原卡、功能建议、安全建议、分开呈现五组；②每组两重复，共2980次；③完成剩余1320次后，做配对分析和案例复盘。</w:t>
      </w:r>
    </w:p>
    <w:p w14:paraId="7A38491E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完成2980次后比较分开呈现与原卡。正向门槛是Joint差值的95%题族区间全部高于0，且功能、安全通过率均不下降，支持拆分有收益；反向门槛是该区间全部低于0，支持拆分造成净损失。区间跨0时不作胜负结论，逐题说明损失来自哪里。</w:t>
      </w:r>
    </w:p>
    <w:p w14:paraId="65F55F41">
      <w:pPr>
        <w:pStyle w:val="3"/>
        <w:pageBreakBefore/>
      </w:pPr>
      <w:bookmarkStart w:id="2" w:name="section_3"/>
      <w:r>
        <w:rPr>
          <w:rFonts w:ascii="Times New Roman" w:hAnsi="Times New Roman" w:eastAsia="宋体"/>
          <w:b/>
          <w:color w:val="000000"/>
          <w:sz w:val="24"/>
        </w:rPr>
        <w:t>三 已安排但尚未开始的实验</w:t>
      </w:r>
      <w:bookmarkEnd w:id="2"/>
    </w:p>
    <w:p w14:paraId="0528A089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名称：C01 新模型增长题第三轮Q学习 K3</w:t>
      </w:r>
    </w:p>
    <w:p w14:paraId="748EBE27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完成预定三轮增长学习，得到统一的最终Q状态。</w:t>
      </w:r>
    </w:p>
    <w:p w14:paraId="2360DF54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①从完整K2接续；②顺序完成同273题并更新Q；③冻结为K3；④回放并比较K0至K3的覆盖、反馈集中度和成本。</w:t>
      </w:r>
    </w:p>
    <w:p w14:paraId="1CE9C394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以完整K2结束时的反馈卡数为起点。正向门槛是第三轮新增至少1张合格反馈卡且冻结结果可核对，说明覆盖继续扩展；反向门槛是新增卡为0、反馈只重复落在旧卡，说明覆盖饱和。无论哪种结果都完成273题，再由回测判断第三轮评分的实际价值。</w:t>
      </w:r>
    </w:p>
    <w:p w14:paraId="0574A1BE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名称：C02 四个学习阶段的冻结Q同题回测</w:t>
      </w:r>
    </w:p>
    <w:p w14:paraId="61D43B9E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判断多轮学习得到的Q，是否真的让原增长题更容易做对。</w:t>
      </w:r>
    </w:p>
    <w:p w14:paraId="2A096D7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①等K0至K3完成并冻结；②273题比较相似度、Q-K0、Q-K1、Q-K2、Q-K3五条件；③各两重复，共2730次；④不更新Q。</w:t>
      </w:r>
    </w:p>
    <w:p w14:paraId="0AC114EB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正向门槛是K3比相似度的Joint更高，按题族的配对检验经过既定校正后p≤0.05，且功能、安全不下降，支持多轮Q改善同题选择；反向门槛是Joint更低且同一检验通过，支持评分损伤选择。其余结果记为未分出高下，并比较各轮救回与损失。</w:t>
      </w:r>
    </w:p>
    <w:p w14:paraId="3C61E782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名称：C03 最终Q在全审计集上的四组迁移对照</w:t>
      </w:r>
    </w:p>
    <w:p w14:paraId="39306C41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判断学到的Q能否帮助同类漏洞、不同题族的新任务。</w:t>
      </w:r>
    </w:p>
    <w:p w14:paraId="16EC36FD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①固定K3、1939卡和修订后的298题；②比较原CLE、相似度、学习Q、同类漏洞内打乱Q；③各两重复，共2384次；④记录改选、采用与代码落实。</w:t>
      </w:r>
    </w:p>
    <w:p w14:paraId="34446584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正向门槛是学习Q同时胜过相似度和打乱Q，两项校正后p均≤0.05，功能、安全不下降，并有改选、采用和实现救回的证据，支持Q迁移收益；反向门槛是任一主要比较显著降低Joint，反对稳定优势。只有改选而不提分，判断为机制介入、收益未建立。</w:t>
      </w:r>
    </w:p>
    <w:p w14:paraId="4FC7D4B4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名称：C04 全增长集五档经验真实标签实验</w:t>
      </w:r>
    </w:p>
    <w:p w14:paraId="3098192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为每道题找到有实际做题证据支持的经验详细程度。</w:t>
      </w:r>
    </w:p>
    <w:p w14:paraId="6E36298B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①使用修订后的273题及1924张共同合格来源卡；②五档各两重复，共2730次；③按预定题族划分训练和开发；④比较成功次数、采用和成本。</w:t>
      </w:r>
    </w:p>
    <w:p w14:paraId="6C06424E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正向门槛是在按题族留出的开发题中，至少一个题族出现某档2/2次Joint通过、另一档0/2次通过，并能核对实际经验干预，支持存在可重复的档位差异；反向门槛是开发题各档成功次数全部相同，反对本批题需要分档。再统计有多少题能形成稳定标签。</w:t>
      </w:r>
    </w:p>
    <w:p w14:paraId="74E96D3D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名称：C05 基于全量真实标签训练并冻结分类器</w:t>
      </w:r>
    </w:p>
    <w:p w14:paraId="110C5BBC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检验公开题目特征能否预测合适的经验详细程度。</w:t>
      </w:r>
    </w:p>
    <w:p w14:paraId="21F1655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①等全273题五档实验与回放完成；②只用预定训练题族和真实标签拟合；③在训练内交叉验证；④冻结分类器、固定档位和简单规则。</w:t>
      </w:r>
    </w:p>
    <w:p w14:paraId="76B470F2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正向门槛是题族交叉验证的选档准确率高于“始终预测最多类别”的基线，且差值95%区间全部高于0，支持公开特征含有可预测信息；反向门槛是区间全部低于0，说明当前分类器不如简单做法。区间跨0则预测优势未建立，代码收益继续由C06检验。</w:t>
      </w:r>
    </w:p>
    <w:p w14:paraId="6F9FFEF7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名称：C06 全审计集记忆程度三策略对照</w:t>
      </w:r>
    </w:p>
    <w:p w14:paraId="2E2BB772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判断自动选档是否比所有题用同一档或简单规则更有用。</w:t>
      </w:r>
    </w:p>
    <w:p w14:paraId="7BE553A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①固定新训练的分类器；②298题比较分类器、固定档、公开规则；③各两重复，共1788个逻辑单元；④完整输入一致的既有结果才复用。</w:t>
      </w:r>
    </w:p>
    <w:p w14:paraId="1028526F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正向门槛是分类器的Joint同时高于固定档和公开规则，两项校正后p均≤0.05，且功能、安全不下降，支持自动选档有用；反向门槛是任一比较显著降低Joint，反对采用该分类器。若只提高选档准确率却不提高Joint，说明预测目标没有转化为做题收益。</w:t>
      </w:r>
    </w:p>
    <w:p w14:paraId="77841BE6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名称：C07 全增长集和审计集的检索AI盲标</w:t>
      </w:r>
    </w:p>
    <w:p w14:paraId="2CFF3AE8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区分库中没有适用卡、没有召回和召回后没有选中这三种问题。</w:t>
      </w:r>
    </w:p>
    <w:p w14:paraId="312F0A3C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①为273道增长题及298道审计题建立共同候选池；②合并三种查询的向量前24和词面前8，再加固定随机16卡；③每个题卡对最多一次AI盲标。</w:t>
      </w:r>
    </w:p>
    <w:p w14:paraId="4E945B30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按题判断：正向门槛是至少1张直接适用卡被召回并选中，支持该题检索命中；反向门槛是已标注池有适用卡、终选命中却为0，支持存在漏选。池内没有适用卡只说明本池未找到经验。汇总四指标后，再区分问题出在召回还是排序。</w:t>
      </w:r>
    </w:p>
    <w:p w14:paraId="641BA4F3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名称：C08 检索标签人工复核与正式指标</w:t>
      </w:r>
    </w:p>
    <w:p w14:paraId="5FE271E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确认AI是否把真正适用的卡标对，使检索评价有可核对的人工依据。</w:t>
      </w:r>
    </w:p>
    <w:p w14:paraId="02E8569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①导出题目、卡片、AI理由和依据；②人工逐项确认直接适用、有条件、无关、冲突、信息不足五类；③保存独立人工标签；④裁决后复算四指标。</w:t>
      </w:r>
    </w:p>
    <w:p w14:paraId="6131F23B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正向门槛是主评价池全部完成人工裁决，且人工确认AI的直接适用判断、没有发现漏标，支持这批AI标签可复用；反向门槛是人工发现误标或漏标，即需修正相应指标，反对直接照抄AI结论。正式四指标以全部裁决后的人工标签为准。</w:t>
      </w:r>
    </w:p>
    <w:p w14:paraId="60E63BC5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名称：C09 用新模型从空库建立完整CLE经验库</w:t>
      </w:r>
    </w:p>
    <w:p w14:paraId="4558D74F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得到由新模型自己产生的经验，用于区分模型能力和经验来源。</w:t>
      </w:r>
    </w:p>
    <w:p w14:paraId="6D0F339C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①从空经验库启动原CLE冷启动；②按原流程完成三轮主动回放和全局门控；③保留候选、晋升、拒绝及来源；④冻结新库C41并回放。</w:t>
      </w:r>
    </w:p>
    <w:p w14:paraId="4A764CA0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正向门槛是原CLE冷启动、三轮回放和门控全部完成，形成至少1张通过原门控、来源可核对的最终卡，并完成回放，支持新模型能建立可用经验资产；反向门槛是最终没有卡通过门控，说明本流程未形成新库。新库是否提高Joint再由C10判断，不以卡数多代替质量。</w:t>
      </w:r>
    </w:p>
    <w:p w14:paraId="35E86FD3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名称：C10 新模型在无卡 旧库 新库三条件下的全量比较</w:t>
      </w:r>
    </w:p>
    <w:p w14:paraId="0D2CEAD7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判断新模型更适合旧模型经验、新模型经验，还是不使用经验。</w:t>
      </w:r>
    </w:p>
    <w:p w14:paraId="1E4393C3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①等C41新库冻结；②同298题比较无卡、旧1939卡、新C41库；③各两重复，共1788次；④统一公开契约、P7预算和验证规则。</w:t>
      </w:r>
    </w:p>
    <w:p w14:paraId="5CA3C893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正向门槛是新库相对旧库、无卡的两个Joint差值95%题族区间都高于0，且功能、安全不下降，支持新模型经验具有实际收益；反向门槛是新库比两组都更低且区间都低于0，支持新库消费有害。只胜过一组时，只认可该项比较，不扩大成全面优势。</w:t>
      </w:r>
    </w:p>
    <w:p w14:paraId="7C5541BA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名称：C11 新模型在Base和Plus上的三卡库外部验证</w:t>
      </w:r>
    </w:p>
    <w:p w14:paraId="3C3D0514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检查PLT上的经验效果能否迁移到其他测试集。</w:t>
      </w:r>
    </w:p>
    <w:p w14:paraId="3C4C9724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①补齐原验证镜像并完成正向校准；②在Base 115题、Plus 140题比较无卡、旧库、新库；③各两重复，共1530次；④隐藏测试不回传，不更新卡库和Q。</w:t>
      </w:r>
    </w:p>
    <w:p w14:paraId="240172EE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正向门槛是在Base和Plus分别完成全量后，新库相对相同集合无卡、旧库的Joint配对区间均高于0，且安全不下降，支持跨集合收益；反向门槛是任一集合出现区间低于0的Joint损失，说明该集合迁移受损。两集分别判断，不用平均分掩盖其中一集退化。</w:t>
      </w:r>
    </w:p>
    <w:p w14:paraId="03ECCDDC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名称：C12 无经验P3在Base和Plus上的基线</w:t>
      </w:r>
    </w:p>
    <w:p w14:paraId="5CA2B3F9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补齐新模型无经验Agent在外部测试集上的参照结果。</w:t>
      </w:r>
    </w:p>
    <w:p w14:paraId="1818AFFA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①使用原验证镜像和P3流程；②完成Base 115题、Plus 140题，共255次；③固定两次前向并交付末次代码；④不输入经验，不回传隐藏测试。</w:t>
      </w:r>
    </w:p>
    <w:p w14:paraId="6AF3AC3B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本项不预设最低正确率。正向门槛是255题全部执行，使用原验证器，逐题区分通过、已测失败和生成失败，且没有隐藏测试回传，支持基线可用；反向门槛是缺题或验证后端不一致，说明参照不成立。满足技术门槛后，用实际Joint描述能力，不因分数低否定基线。</w:t>
      </w:r>
    </w:p>
    <w:p w14:paraId="15B2A595">
      <w:pPr>
        <w:pStyle w:val="3"/>
        <w:pageBreakBefore/>
      </w:pPr>
      <w:bookmarkStart w:id="3" w:name="section_4"/>
      <w:r>
        <w:rPr>
          <w:rFonts w:ascii="Times New Roman" w:hAnsi="Times New Roman" w:eastAsia="宋体"/>
          <w:b/>
          <w:color w:val="000000"/>
          <w:sz w:val="24"/>
        </w:rPr>
        <w:t>四 因旧模型停用而不再执行的原计划</w:t>
      </w:r>
      <w:bookmarkEnd w:id="3"/>
    </w:p>
    <w:p w14:paraId="06758253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名称：D01 旧模型在线强化剩余增长题与最终迁移</w:t>
      </w:r>
    </w:p>
    <w:p w14:paraId="52006CC0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原计划是在旧模型上强化初始化题和增长题，再测最终冻结Q。</w:t>
      </w:r>
    </w:p>
    <w:p w14:paraId="5003FFD6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①保留旧初始化303题和增长23题记录；②保存当时Q快照与未完成状态；③不再向已停用的v3.2派发；④由新模型的独立学习链继续验证研究问题。</w:t>
      </w:r>
    </w:p>
    <w:p w14:paraId="3038D183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旧链已保存初始化303题和增长23题，当前因模型停用而结束。若恢复原模型并补齐原计划，正向门槛是最终冻结Q在审计集上胜过相似度和打乱Q，两项校正后p均≤0.05且功能安全不下降；反向门槛是任一主要比较Joint更低且校正后p≤0.05，分别支持强化有效或有害。停用本身不作为Q效果判断。</w:t>
      </w:r>
    </w:p>
    <w:p w14:paraId="2D11D23F">
      <w:pPr>
        <w:keepNext/>
        <w:keepLines/>
        <w:spacing w:before="100" w:after="60"/>
      </w:pPr>
      <w:r>
        <w:rPr>
          <w:rFonts w:ascii="Times New Roman" w:hAnsi="Times New Roman" w:eastAsia="宋体"/>
          <w:b/>
          <w:color w:val="000000"/>
          <w:sz w:val="24"/>
        </w:rPr>
        <w:t>名称：D02 旧模型对无卡 旧库 新库的反向交叉</w:t>
      </w:r>
    </w:p>
    <w:p w14:paraId="4FFCE6C8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目的：</w:t>
      </w:r>
      <w:r>
        <w:rPr>
          <w:rFonts w:ascii="Times New Roman" w:hAnsi="Times New Roman" w:eastAsia="宋体"/>
          <w:b w:val="0"/>
          <w:color w:val="000000"/>
          <w:sz w:val="24"/>
        </w:rPr>
        <w:t>原计划用两种模型互换经验库，判断模型与经验来源是否存在配合关系。</w:t>
      </w:r>
    </w:p>
    <w:p w14:paraId="1E10B705">
      <w:pPr>
        <w:keepNext/>
        <w:keepLines/>
        <w:spacing w:after="60"/>
      </w:pPr>
      <w:r>
        <w:rPr>
          <w:rFonts w:ascii="Times New Roman" w:hAnsi="Times New Roman" w:eastAsia="宋体"/>
          <w:b/>
          <w:color w:val="000000"/>
          <w:sz w:val="24"/>
        </w:rPr>
        <w:t>实验步骤：</w:t>
      </w:r>
      <w:r>
        <w:rPr>
          <w:rFonts w:ascii="Times New Roman" w:hAnsi="Times New Roman" w:eastAsia="宋体"/>
          <w:b w:val="0"/>
          <w:color w:val="000000"/>
          <w:sz w:val="24"/>
        </w:rPr>
        <w:t>①保留两模型乘三卡库的设计；②旧模型原计划在298题三条件各两重复，共1788次；③另在Base和Plus完成1530次外部比较；④当前不派发旧模型请求。</w:t>
      </w:r>
    </w:p>
    <w:p w14:paraId="454477F3">
      <w:pPr>
        <w:keepNext w:val="0"/>
        <w:keepLines/>
        <w:spacing w:after="240"/>
      </w:pPr>
      <w:r>
        <w:rPr>
          <w:rFonts w:ascii="Times New Roman" w:hAnsi="Times New Roman" w:eastAsia="宋体"/>
          <w:b/>
          <w:color w:val="000000"/>
          <w:sz w:val="24"/>
        </w:rPr>
        <w:t>预测结果分析：</w:t>
      </w:r>
      <w:r>
        <w:rPr>
          <w:rFonts w:ascii="Times New Roman" w:hAnsi="Times New Roman" w:eastAsia="宋体"/>
          <w:b w:val="0"/>
          <w:color w:val="000000"/>
          <w:sz w:val="24"/>
        </w:rPr>
        <w:t>若能够补齐原矩阵，正向匹配门槛是两模型各自使用自产库都优于对方库，两个配对差值95%区间均高于0，支持来源适配；反向门槛是两模型都偏好同一库，且相对另一库的两个差值95%区间均高于0，支持共有的库质量优势、反对简单的自产匹配假设。当前旧模型不可用，这项比较保留未执行。</w:t>
      </w:r>
    </w:p>
    <w:sectPr>
      <w:footerReference r:id="rId5" w:type="default"/>
      <w:pgSz w:w="11906" w:h="16838"/>
      <w:pgMar w:top="1077" w:right="1247" w:bottom="1020" w:left="1247" w:header="397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B46CA">
    <w:pPr>
      <w:pStyle w:val="24"/>
      <w:jc w:val="center"/>
    </w:pPr>
    <w:r>
      <w:rPr>
        <w:rFonts w:ascii="Times New Roman" w:hAnsi="Times New Roman" w:eastAsia="宋体"/>
        <w:b w:val="0"/>
        <w:color w:val="000000"/>
        <w:sz w:val="24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eastAsia="宋体"/>
        <w:sz w:val="24"/>
      </w:rPr>
      <w:t>1</w:t>
    </w:r>
    <w:r>
      <w:rPr>
        <w:rFonts w:ascii="Times New Roman" w:hAnsi="Times New Roman" w:eastAsia="宋体"/>
        <w:sz w:val="24"/>
      </w:rPr>
      <w:fldChar w:fldCharType="end"/>
    </w:r>
    <w:r>
      <w:rPr>
        <w:rFonts w:ascii="Times New Roman" w:hAnsi="Times New Roman" w:eastAsia="宋体"/>
        <w:b w:val="0"/>
        <w:color w:val="000000"/>
        <w:sz w:val="2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1C1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80" w:line="288" w:lineRule="auto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20"/>
      <w:outlineLvl w:val="0"/>
    </w:pPr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20"/>
      <w:outlineLvl w:val="1"/>
    </w:pPr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="Times New Roman" w:hAnsi="Times New Roman" w:eastAsia="宋体" w:cs="Times New Roman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="Times New Roman" w:hAnsi="Times New Roman" w:eastAsia="宋体" w:cs="Times New Roman"/>
      <w:b/>
      <w:bCs/>
      <w:i/>
      <w:iCs/>
      <w:color w:val="000000"/>
      <w:sz w:val="24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="Times New Roman" w:hAnsi="Times New Roman" w:eastAsia="宋体" w:cs="Times New Roman"/>
      <w:color w:val="000000"/>
      <w:sz w:val="24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="Times New Roman" w:hAnsi="Times New Roman" w:eastAsia="宋体" w:cs="Times New Roman"/>
      <w:i/>
      <w:iCs/>
      <w:color w:val="000000"/>
      <w:sz w:val="24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="Times New Roman" w:hAnsi="Times New Roman" w:eastAsia="宋体" w:cs="Times New Roman"/>
      <w:i/>
      <w:iCs/>
      <w:color w:val="000000"/>
      <w:sz w:val="24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="Times New Roman" w:hAnsi="Times New Roman" w:eastAsia="宋体" w:cs="Times New Roman"/>
      <w:i/>
      <w:iCs/>
      <w:color w:val="000000"/>
      <w:sz w:val="24"/>
      <w:szCs w:val="24"/>
    </w:rPr>
  </w:style>
  <w:style w:type="character" w:default="1" w:styleId="132">
    <w:name w:val="Default Paragraph Font"/>
    <w:semiHidden/>
    <w:unhideWhenUsed/>
    <w:qFormat/>
    <w:uiPriority w:val="1"/>
    <w:rPr>
      <w:rFonts w:ascii="Times New Roman" w:hAnsi="Times New Roman" w:eastAsia="宋体" w:cs="Times New Roman"/>
      <w:color w:val="000000"/>
      <w:sz w:val="24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rFonts w:ascii="Times New Roman" w:hAnsi="Times New Roman" w:eastAsia="宋体" w:cs="Times New Roman"/>
      <w:color w:val="000000"/>
      <w:sz w:val="24"/>
      <w:szCs w:val="24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Times New Roman" w:hAnsi="Times New Roman" w:eastAsia="宋体" w:cs="Times New Roman"/>
      <w:color w:val="000000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21">
    <w:name w:val="List 2"/>
    <w:basedOn w:val="1"/>
    <w:unhideWhenUsed/>
    <w:uiPriority w:val="99"/>
    <w:pPr>
      <w:ind w:left="720" w:hanging="36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  <w:sz w:val="24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  <w:color w:val="000000"/>
      <w:sz w:val="24"/>
    </w:rPr>
  </w:style>
  <w:style w:type="paragraph" w:styleId="26">
    <w:name w:val="Subtitle"/>
    <w:basedOn w:val="1"/>
    <w:next w:val="1"/>
    <w:link w:val="142"/>
    <w:qFormat/>
    <w:uiPriority w:val="11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ascii="Times New Roman" w:hAnsi="Times New Roman" w:eastAsia="宋体" w:cs="Times New Roman"/>
      <w:color w:val="000000"/>
      <w:sz w:val="24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  <w:rPr>
      <w:rFonts w:ascii="Times New Roman" w:hAnsi="Times New Roman" w:eastAsia="宋体" w:cs="Times New Roman"/>
      <w:color w:val="000000"/>
      <w:sz w:val="24"/>
    </w:rPr>
  </w:style>
  <w:style w:type="paragraph" w:styleId="31">
    <w:name w:val="Title"/>
    <w:basedOn w:val="1"/>
    <w:next w:val="1"/>
    <w:link w:val="141"/>
    <w:qFormat/>
    <w:uiPriority w:val="10"/>
    <w:pPr>
      <w:spacing w:before="160" w:after="120" w:line="240" w:lineRule="auto"/>
      <w:contextualSpacing/>
    </w:pPr>
    <w:rPr>
      <w:rFonts w:ascii="Times New Roman" w:hAnsi="Times New Roman" w:eastAsia="宋体" w:cs="Times New Roman"/>
      <w:b/>
      <w:color w:val="000000"/>
      <w:spacing w:val="5"/>
      <w:kern w:val="28"/>
      <w:sz w:val="24"/>
      <w:szCs w:val="24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宋体" w:cs="Times New Roman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="Times New Roman" w:hAnsi="Times New Roman" w:eastAsia="宋体" w:cs="Times New Roman"/>
        <w:b/>
        <w:bCs/>
      </w:rPr>
    </w:tblStylePr>
    <w:tblStylePr w:type="lastCol">
      <w:rPr>
        <w:rFonts w:ascii="Times New Roman" w:hAnsi="Times New Roman" w:eastAsia="宋体" w:cs="Times New Roman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宋体" w:cs="Times New Roman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  <w:color w:val="000000"/>
      <w:sz w:val="24"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35">
    <w:name w:val="Header Char"/>
    <w:basedOn w:val="132"/>
    <w:link w:val="25"/>
    <w:uiPriority w:val="99"/>
    <w:rPr>
      <w:rFonts w:ascii="Times New Roman" w:hAnsi="Times New Roman" w:eastAsia="宋体" w:cs="Times New Roman"/>
      <w:color w:val="000000"/>
      <w:sz w:val="24"/>
    </w:rPr>
  </w:style>
  <w:style w:type="character" w:customStyle="1" w:styleId="136">
    <w:name w:val="Footer Char"/>
    <w:basedOn w:val="132"/>
    <w:link w:val="24"/>
    <w:uiPriority w:val="99"/>
    <w:rPr>
      <w:rFonts w:ascii="Times New Roman" w:hAnsi="Times New Roman" w:eastAsia="宋体" w:cs="Times New Roman"/>
      <w:color w:val="000000"/>
      <w:sz w:val="24"/>
    </w:rPr>
  </w:style>
  <w:style w:type="paragraph" w:styleId="137">
    <w:name w:val="No Spacing"/>
    <w:qFormat/>
    <w:uiPriority w:val="1"/>
    <w:pPr>
      <w:spacing w:after="0" w:line="240" w:lineRule="auto"/>
    </w:pPr>
    <w:rPr>
      <w:rFonts w:ascii="Times New Roman" w:hAnsi="Times New Roman" w:eastAsia="宋体" w:cs="Times New Roman"/>
      <w:color w:val="000000"/>
      <w:sz w:val="24"/>
      <w:szCs w:val="24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character" w:customStyle="1" w:styleId="139">
    <w:name w:val="Heading 2 Char"/>
    <w:basedOn w:val="132"/>
    <w:link w:val="4"/>
    <w:qFormat/>
    <w:uiPriority w:val="9"/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character" w:customStyle="1" w:styleId="140">
    <w:name w:val="Heading 3 Char"/>
    <w:basedOn w:val="132"/>
    <w:link w:val="5"/>
    <w:qFormat/>
    <w:uiPriority w:val="9"/>
    <w:rPr>
      <w:rFonts w:ascii="Times New Roman" w:hAnsi="Times New Roman" w:eastAsia="宋体" w:cs="Times New Roman"/>
      <w:b/>
      <w:bCs/>
      <w:color w:val="000000"/>
      <w:sz w:val="24"/>
    </w:rPr>
  </w:style>
  <w:style w:type="character" w:customStyle="1" w:styleId="141">
    <w:name w:val="Title Char"/>
    <w:basedOn w:val="132"/>
    <w:link w:val="31"/>
    <w:qFormat/>
    <w:uiPriority w:val="10"/>
    <w:rPr>
      <w:rFonts w:ascii="Times New Roman" w:hAnsi="Times New Roman" w:eastAsia="宋体" w:cs="Times New Roman"/>
      <w:color w:val="000000"/>
      <w:spacing w:val="5"/>
      <w:kern w:val="28"/>
      <w:sz w:val="24"/>
      <w:szCs w:val="24"/>
    </w:rPr>
  </w:style>
  <w:style w:type="character" w:customStyle="1" w:styleId="142">
    <w:name w:val="Subtitle Char"/>
    <w:basedOn w:val="132"/>
    <w:link w:val="26"/>
    <w:qFormat/>
    <w:uiPriority w:val="11"/>
    <w:rPr>
      <w:rFonts w:ascii="Times New Roman" w:hAnsi="Times New Roman" w:eastAsia="宋体" w:cs="Times New Roman"/>
      <w:i/>
      <w:iCs/>
      <w:color w:val="000000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ascii="Times New Roman" w:hAnsi="Times New Roman" w:eastAsia="宋体" w:cs="Times New Roman"/>
      <w:color w:val="000000"/>
      <w:sz w:val="24"/>
    </w:rPr>
  </w:style>
  <w:style w:type="character" w:customStyle="1" w:styleId="144">
    <w:name w:val="Body Text Char"/>
    <w:basedOn w:val="132"/>
    <w:link w:val="19"/>
    <w:qFormat/>
    <w:uiPriority w:val="99"/>
    <w:rPr>
      <w:rFonts w:ascii="Times New Roman" w:hAnsi="Times New Roman" w:eastAsia="宋体" w:cs="Times New Roman"/>
      <w:color w:val="000000"/>
      <w:sz w:val="24"/>
    </w:rPr>
  </w:style>
  <w:style w:type="character" w:customStyle="1" w:styleId="145">
    <w:name w:val="Body Text 2 Char"/>
    <w:basedOn w:val="132"/>
    <w:link w:val="28"/>
    <w:qFormat/>
    <w:uiPriority w:val="99"/>
    <w:rPr>
      <w:rFonts w:ascii="Times New Roman" w:hAnsi="Times New Roman" w:eastAsia="宋体" w:cs="Times New Roman"/>
      <w:color w:val="000000"/>
      <w:sz w:val="24"/>
    </w:rPr>
  </w:style>
  <w:style w:type="character" w:customStyle="1" w:styleId="146">
    <w:name w:val="Body Text 3 Char"/>
    <w:basedOn w:val="132"/>
    <w:link w:val="17"/>
    <w:qFormat/>
    <w:uiPriority w:val="99"/>
    <w:rPr>
      <w:rFonts w:ascii="Times New Roman" w:hAnsi="Times New Roman" w:eastAsia="宋体" w:cs="Times New Roman"/>
      <w:color w:val="000000"/>
      <w:sz w:val="24"/>
      <w:szCs w:val="24"/>
    </w:rPr>
  </w:style>
  <w:style w:type="character" w:customStyle="1" w:styleId="147">
    <w:name w:val="Macro Text Char"/>
    <w:basedOn w:val="132"/>
    <w:link w:val="2"/>
    <w:uiPriority w:val="99"/>
    <w:rPr>
      <w:rFonts w:ascii="Times New Roman" w:hAnsi="Times New Roman" w:eastAsia="宋体" w:cs="Times New Roman"/>
      <w:color w:val="000000"/>
      <w:sz w:val="24"/>
      <w:szCs w:val="24"/>
    </w:rPr>
  </w:style>
  <w:style w:type="paragraph" w:styleId="148">
    <w:name w:val="Quote"/>
    <w:basedOn w:val="1"/>
    <w:next w:val="1"/>
    <w:link w:val="149"/>
    <w:qFormat/>
    <w:uiPriority w:val="29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49">
    <w:name w:val="Quote Char"/>
    <w:basedOn w:val="132"/>
    <w:link w:val="148"/>
    <w:qFormat/>
    <w:uiPriority w:val="29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="Times New Roman" w:hAnsi="Times New Roman" w:eastAsia="宋体" w:cs="Times New Roman"/>
      <w:b/>
      <w:bCs/>
      <w:i/>
      <w:iCs/>
      <w:color w:val="000000"/>
      <w:sz w:val="24"/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="Times New Roman" w:hAnsi="Times New Roman" w:eastAsia="宋体" w:cs="Times New Roman"/>
      <w:color w:val="000000"/>
      <w:sz w:val="24"/>
    </w:rPr>
  </w:style>
  <w:style w:type="character" w:customStyle="1" w:styleId="152">
    <w:name w:val="Heading 6 Char"/>
    <w:basedOn w:val="132"/>
    <w:link w:val="8"/>
    <w:semiHidden/>
    <w:uiPriority w:val="9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="Times New Roman" w:hAnsi="Times New Roman" w:eastAsia="宋体" w:cs="Times New Roman"/>
      <w:color w:val="000000"/>
      <w:sz w:val="24"/>
      <w:szCs w:val="24"/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="Times New Roman" w:hAnsi="Times New Roman" w:eastAsia="宋体" w:cs="Times New Roman"/>
      <w:i/>
      <w:iCs/>
      <w:color w:val="000000"/>
      <w:sz w:val="24"/>
      <w:szCs w:val="24"/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rFonts w:ascii="Times New Roman" w:hAnsi="Times New Roman" w:eastAsia="宋体" w:cs="Times New Roman"/>
      <w:b/>
      <w:bCs/>
      <w:i/>
      <w:iCs/>
      <w:color w:val="000000"/>
      <w:sz w:val="24"/>
    </w:rPr>
  </w:style>
  <w:style w:type="character" w:customStyle="1" w:styleId="157">
    <w:name w:val="Intense Quote Char"/>
    <w:basedOn w:val="132"/>
    <w:link w:val="156"/>
    <w:qFormat/>
    <w:uiPriority w:val="30"/>
    <w:rPr>
      <w:rFonts w:ascii="Times New Roman" w:hAnsi="Times New Roman" w:eastAsia="宋体" w:cs="Times New Roman"/>
      <w:b/>
      <w:bCs/>
      <w:i/>
      <w:iCs/>
      <w:color w:val="000000"/>
      <w:sz w:val="24"/>
    </w:rPr>
  </w:style>
  <w:style w:type="character" w:customStyle="1" w:styleId="158">
    <w:name w:val="Subtle Emphasis"/>
    <w:basedOn w:val="132"/>
    <w:qFormat/>
    <w:uiPriority w:val="19"/>
    <w:rPr>
      <w:rFonts w:ascii="Times New Roman" w:hAnsi="Times New Roman" w:eastAsia="宋体" w:cs="Times New Roman"/>
      <w:i/>
      <w:iCs/>
      <w:color w:val="000000"/>
      <w:sz w:val="24"/>
    </w:rPr>
  </w:style>
  <w:style w:type="character" w:customStyle="1" w:styleId="159">
    <w:name w:val="Intense Emphasis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000000"/>
      <w:sz w:val="24"/>
    </w:rPr>
  </w:style>
  <w:style w:type="character" w:customStyle="1" w:styleId="160">
    <w:name w:val="Subtle Reference"/>
    <w:basedOn w:val="132"/>
    <w:qFormat/>
    <w:uiPriority w:val="31"/>
    <w:rPr>
      <w:rFonts w:ascii="Times New Roman" w:hAnsi="Times New Roman" w:eastAsia="宋体" w:cs="Times New Roman"/>
      <w:smallCaps/>
      <w:color w:val="000000"/>
      <w:sz w:val="24"/>
      <w:u w:val="single"/>
    </w:rPr>
  </w:style>
  <w:style w:type="character" w:customStyle="1" w:styleId="161">
    <w:name w:val="Intense Reference"/>
    <w:basedOn w:val="132"/>
    <w:qFormat/>
    <w:uiPriority w:val="32"/>
    <w:rPr>
      <w:rFonts w:ascii="Times New Roman" w:hAnsi="Times New Roman" w:eastAsia="宋体" w:cs="Times New Roman"/>
      <w:b/>
      <w:bCs/>
      <w:smallCaps/>
      <w:color w:val="000000"/>
      <w:spacing w:val="5"/>
      <w:sz w:val="24"/>
      <w:u w:val="single"/>
    </w:rPr>
  </w:style>
  <w:style w:type="character" w:customStyle="1" w:styleId="162">
    <w:name w:val="Book Title"/>
    <w:basedOn w:val="132"/>
    <w:qFormat/>
    <w:uiPriority w:val="33"/>
    <w:rPr>
      <w:rFonts w:ascii="Times New Roman" w:hAnsi="Times New Roman" w:eastAsia="宋体" w:cs="Times New Roman"/>
      <w:b/>
      <w:bCs/>
      <w:smallCaps/>
      <w:color w:val="000000"/>
      <w:spacing w:val="5"/>
      <w:sz w:val="24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1041</Words>
  <Characters>1139</Characters>
  <Lines>0</Lines>
  <Paragraphs>0</Paragraphs>
  <TotalTime>1</TotalTime>
  <ScaleCrop>false</ScaleCrop>
  <LinksUpToDate>false</LinksUpToDate>
  <CharactersWithSpaces>1147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傅钧烨</dc:creator>
  <dc:description>generated by python-docx</dc:description>
  <cp:lastModifiedBy>傅钧烨</cp:lastModifiedBy>
  <dcterms:modified xsi:type="dcterms:W3CDTF">2026-10-28T03:08:43Z</dcterms:modified>
  <dc:subject>按名称 目的 实验步骤 结果预设分析整理的实验总表</dc:subject>
  <dc:title>CLE已做与未做实验清单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eyJoZGlkIjoiMDA1MDg3YTBmN2UzMDU5N2QyZjJjNWU0NmMyNjc4OTkiLCJ1c2VySWQiOiI5NjkzMzY3NzQifQ==</vt:lpwstr>
  </property>
  <property fmtid="{D5CDD505-2E9C-101B-9397-08002B2CF9AE}" pid="3" name="KSOProductBuildVer">
    <vt:lpwstr>2052-12.1.0.29161</vt:lpwstr>
  </property>
  <property fmtid="{D5CDD505-2E9C-101B-9397-08002B2CF9AE}" pid="4" name="ICV">
    <vt:lpwstr>42FE63AFCDC64C3EAF73D3D24F295E6B_12</vt:lpwstr>
  </property>
</Properties>
</file>