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360"/>
        <w:jc w:val="center"/>
      </w:pPr>
      <w:r>
        <w:t>10月14日-10月21日实验探索总结</w:t>
      </w:r>
    </w:p>
    <w:p>
      <w:pPr>
        <w:ind w:firstLine="480"/>
        <w:jc w:val="both"/>
      </w:pPr>
      <w:r>
        <w:t>本周围绕“给经验打分，能否帮助模型写出正确且安全的代码”开展探索。结果表明，评分能够改变模型选用的经验，扩大反馈范围也让更多经验获得评分，但这些变化没有带来稳定的正确率提升。</w:t>
      </w:r>
    </w:p>
    <w:p>
      <w:pPr>
        <w:ind w:firstLine="480"/>
        <w:jc w:val="both"/>
      </w:pPr>
      <w:r>
        <w:t>这说明，选到经验只是第一步，关键还在于经验是否适用于当前任务，以及模型能否正确落实。增加经验的使用机会，并不等于增加正确解题的机会。</w:t>
      </w:r>
    </w:p>
    <w:p>
      <w:pPr>
        <w:ind w:firstLine="480"/>
        <w:jc w:val="both"/>
      </w:pPr>
      <w:r>
        <w:t>下一步将继续检查经验与题目的匹配、代码使用经验的方式，并在完成学习后，通过固定对照检验效果。</w:t>
      </w:r>
    </w:p>
    <w:p>
      <w:pPr>
        <w:spacing w:before="200"/>
      </w:pPr>
      <w:r>
        <w:drawing>
          <wp:inline xmlns:a="http://schemas.openxmlformats.org/drawingml/2006/main" xmlns:pic="http://schemas.openxmlformats.org/drawingml/2006/picture">
            <wp:extent cx="6012000" cy="2066625"/>
            <wp:docPr id="1" name="Picture 1" descr="经验评分能否帮助模型写出正确且安全的代码？；下一步：检查经验适用性、代码落实与学习后的效果；经验选择；评分已改变选择；反馈范围；更多经验获得评分；代码正确率；未见稳定提升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vervie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12000" cy="2066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本周研究主线与主要判断</w:t>
      </w:r>
    </w:p>
    <w:p>
      <w:pPr>
        <w:spacing w:before="180"/>
      </w:pPr>
      <w:hyperlink r:id="rId10">
        <w:r>
          <w:rPr>
            <w:rFonts w:eastAsia="宋体" w:ascii="Times New Roman" w:hAnsi="Times New Roman"/>
          </w:rPr>
          <w:t>查看本周完整实验报告</w:t>
        </w:r>
      </w:hyperlink>
    </w:p>
    <w:sectPr w:rsidR="00FC693F" w:rsidRPr="0006063C" w:rsidSect="00034616">
      <w:pgSz w:w="11906" w:h="16838"/>
      <w:pgMar w:top="1191" w:right="1191" w:bottom="1134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180"/>
    </w:pPr>
    <w:rPr>
      <w:rFonts w:ascii="Times New Roman" w:hAnsi="Times New Roman" w:eastAsia="宋体" w:cs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Times New Roman" w:hAnsi="Times New Roman" w:eastAsia="宋体" w:cs="Times New Roman"/>
      <w:color w:val="000000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="Times New Roman" w:hAnsi="Times New Roman" w:eastAsia="宋体" w:cs="Times New Roman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 w:cs="Times New Roman"/>
      <w:b w:val="0"/>
      <w:bCs/>
      <w:i w:val="0"/>
      <w:color w:val="000000"/>
      <w:sz w:val="2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../CLE-RPT-20261014-20261021-weekly-v06/10%E6%9C%8814%E6%97%A5-10%E6%9C%8821%E6%97%A5%E5%AE%9E%E9%AA%8C%E6%8E%A2%E7%B4%A2%E6%8A%A5%E5%91%8A.doc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